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D42A" w14:textId="77777777" w:rsidR="00BC17CD" w:rsidRDefault="001D6EF4">
      <w:pPr>
        <w:pStyle w:val="Title"/>
      </w:pPr>
      <w:r>
        <w:t>EQUITY</w:t>
      </w:r>
      <w:r>
        <w:rPr>
          <w:spacing w:val="-10"/>
        </w:rPr>
        <w:t xml:space="preserve"> </w:t>
      </w:r>
      <w:r>
        <w:t>BANCSHARES,</w:t>
      </w:r>
      <w:r>
        <w:rPr>
          <w:spacing w:val="-10"/>
        </w:rPr>
        <w:t xml:space="preserve"> </w:t>
      </w:r>
      <w:r>
        <w:rPr>
          <w:spacing w:val="-4"/>
        </w:rPr>
        <w:t>INC.</w:t>
      </w:r>
    </w:p>
    <w:p w14:paraId="1C4C38AF" w14:textId="77777777" w:rsidR="00BC17CD" w:rsidRDefault="001D6EF4">
      <w:pPr>
        <w:pStyle w:val="Heading1"/>
        <w:spacing w:before="1"/>
        <w:ind w:left="3503" w:right="3499" w:firstLine="0"/>
        <w:jc w:val="center"/>
      </w:pPr>
      <w:r>
        <w:t>Risk</w:t>
      </w:r>
      <w:r>
        <w:rPr>
          <w:spacing w:val="-17"/>
        </w:rPr>
        <w:t xml:space="preserve"> </w:t>
      </w:r>
      <w:r>
        <w:t xml:space="preserve">Committee </w:t>
      </w:r>
      <w:r>
        <w:rPr>
          <w:spacing w:val="-2"/>
        </w:rPr>
        <w:t>Charter</w:t>
      </w:r>
    </w:p>
    <w:p w14:paraId="33275ADB" w14:textId="54315256" w:rsidR="00BC17CD" w:rsidRDefault="001D6EF4">
      <w:pPr>
        <w:pStyle w:val="BodyText"/>
        <w:ind w:left="1"/>
        <w:jc w:val="center"/>
      </w:pPr>
      <w:r>
        <w:t>Effective</w:t>
      </w:r>
      <w:r>
        <w:rPr>
          <w:spacing w:val="-1"/>
        </w:rPr>
        <w:t xml:space="preserve"> </w:t>
      </w:r>
      <w:r>
        <w:t>date</w:t>
      </w:r>
      <w:r>
        <w:rPr>
          <w:spacing w:val="1"/>
        </w:rPr>
        <w:t xml:space="preserve"> </w:t>
      </w:r>
      <w:r>
        <w:t>December</w:t>
      </w:r>
      <w:r>
        <w:rPr>
          <w:spacing w:val="-1"/>
        </w:rPr>
        <w:t xml:space="preserve"> </w:t>
      </w:r>
      <w:r w:rsidR="003F03E8">
        <w:rPr>
          <w:spacing w:val="-4"/>
        </w:rPr>
        <w:t>1, 2025</w:t>
      </w:r>
    </w:p>
    <w:p w14:paraId="07D54FC4" w14:textId="77777777" w:rsidR="00BC17CD" w:rsidRDefault="00BC17CD">
      <w:pPr>
        <w:pStyle w:val="BodyText"/>
        <w:ind w:left="0"/>
        <w:jc w:val="left"/>
      </w:pPr>
    </w:p>
    <w:p w14:paraId="1D61BB44" w14:textId="77777777" w:rsidR="00BC17CD" w:rsidRDefault="00BC17CD">
      <w:pPr>
        <w:pStyle w:val="BodyText"/>
        <w:ind w:left="0"/>
        <w:jc w:val="left"/>
      </w:pPr>
    </w:p>
    <w:p w14:paraId="4959E7DC" w14:textId="77777777" w:rsidR="00BC17CD" w:rsidRDefault="001D6EF4">
      <w:pPr>
        <w:pStyle w:val="Heading1"/>
        <w:numPr>
          <w:ilvl w:val="0"/>
          <w:numId w:val="1"/>
        </w:numPr>
        <w:tabs>
          <w:tab w:val="left" w:pos="839"/>
        </w:tabs>
        <w:spacing w:before="0"/>
        <w:ind w:left="839" w:hanging="719"/>
      </w:pPr>
      <w:bookmarkStart w:id="0" w:name="I._Statement_of_Purpose"/>
      <w:bookmarkEnd w:id="0"/>
      <w:r>
        <w:t>STATEMENT OF</w:t>
      </w:r>
      <w:r>
        <w:rPr>
          <w:spacing w:val="-4"/>
        </w:rPr>
        <w:t xml:space="preserve"> </w:t>
      </w:r>
      <w:r>
        <w:rPr>
          <w:spacing w:val="-2"/>
        </w:rPr>
        <w:t>PURPOSE</w:t>
      </w:r>
    </w:p>
    <w:p w14:paraId="1920B9B1" w14:textId="77777777" w:rsidR="00BC17CD" w:rsidRDefault="001D6EF4">
      <w:pPr>
        <w:pStyle w:val="ListParagraph"/>
        <w:numPr>
          <w:ilvl w:val="1"/>
          <w:numId w:val="1"/>
        </w:numPr>
        <w:tabs>
          <w:tab w:val="left" w:pos="1198"/>
        </w:tabs>
        <w:ind w:left="1198" w:hanging="359"/>
        <w:rPr>
          <w:b/>
          <w:sz w:val="24"/>
        </w:rPr>
      </w:pPr>
      <w:r>
        <w:rPr>
          <w:b/>
          <w:spacing w:val="-2"/>
          <w:sz w:val="24"/>
        </w:rPr>
        <w:t>Purpose</w:t>
      </w:r>
    </w:p>
    <w:p w14:paraId="17807BD1" w14:textId="77777777" w:rsidR="00BC17CD" w:rsidRDefault="001D6EF4">
      <w:pPr>
        <w:pStyle w:val="BodyText"/>
        <w:spacing w:before="240"/>
        <w:ind w:right="115"/>
      </w:pPr>
      <w:r>
        <w:t>The Risk Committee (the “Committee”) is appointed by the Board of Directors of Equity Bancshares, Inc. (the “Board”).</w:t>
      </w:r>
      <w:hyperlink w:anchor="_bookmark0" w:history="1">
        <w:r>
          <w:rPr>
            <w:position w:val="8"/>
            <w:sz w:val="16"/>
          </w:rPr>
          <w:t>1</w:t>
        </w:r>
      </w:hyperlink>
      <w:r>
        <w:rPr>
          <w:spacing w:val="29"/>
          <w:position w:val="8"/>
          <w:sz w:val="16"/>
        </w:rPr>
        <w:t xml:space="preserve"> </w:t>
      </w:r>
      <w:r>
        <w:t>The purpose of the Committee is to assist the Board in its oversight of the enterprise</w:t>
      </w:r>
      <w:r>
        <w:rPr>
          <w:rFonts w:ascii="Cambria Math" w:hAnsi="Cambria Math"/>
        </w:rPr>
        <w:t>‐</w:t>
      </w:r>
      <w:r>
        <w:t>wide risk management of the Company and its subsidiaries (including Equity Bank) (collectively, the “Company”), specifically:</w:t>
      </w:r>
    </w:p>
    <w:p w14:paraId="371AC377" w14:textId="77777777" w:rsidR="00BC17CD" w:rsidRDefault="001D6EF4">
      <w:pPr>
        <w:pStyle w:val="ListParagraph"/>
        <w:numPr>
          <w:ilvl w:val="2"/>
          <w:numId w:val="1"/>
        </w:numPr>
        <w:tabs>
          <w:tab w:val="left" w:pos="1199"/>
        </w:tabs>
        <w:spacing w:before="238"/>
        <w:ind w:left="1199" w:hanging="359"/>
        <w:rPr>
          <w:sz w:val="24"/>
        </w:rPr>
      </w:pPr>
      <w:r>
        <w:rPr>
          <w:sz w:val="24"/>
        </w:rPr>
        <w:t>Oversight</w:t>
      </w:r>
      <w:r>
        <w:rPr>
          <w:spacing w:val="-7"/>
          <w:sz w:val="24"/>
        </w:rPr>
        <w:t xml:space="preserve"> </w:t>
      </w:r>
      <w:r>
        <w:rPr>
          <w:sz w:val="24"/>
        </w:rPr>
        <w:t>of</w:t>
      </w:r>
      <w:r>
        <w:rPr>
          <w:spacing w:val="-2"/>
          <w:sz w:val="24"/>
        </w:rPr>
        <w:t xml:space="preserve"> </w:t>
      </w:r>
      <w:r>
        <w:rPr>
          <w:sz w:val="24"/>
        </w:rPr>
        <w:t>the</w:t>
      </w:r>
      <w:r>
        <w:rPr>
          <w:spacing w:val="-2"/>
          <w:sz w:val="24"/>
        </w:rPr>
        <w:t xml:space="preserve"> </w:t>
      </w:r>
      <w:r>
        <w:rPr>
          <w:sz w:val="24"/>
        </w:rPr>
        <w:t>Company’s</w:t>
      </w:r>
      <w:r>
        <w:rPr>
          <w:spacing w:val="-3"/>
          <w:sz w:val="24"/>
        </w:rPr>
        <w:t xml:space="preserve"> </w:t>
      </w:r>
      <w:r>
        <w:rPr>
          <w:sz w:val="24"/>
        </w:rPr>
        <w:t>enterprise</w:t>
      </w:r>
      <w:r>
        <w:rPr>
          <w:rFonts w:ascii="Cambria Math" w:hAnsi="Cambria Math"/>
          <w:sz w:val="24"/>
        </w:rPr>
        <w:t>‐</w:t>
      </w:r>
      <w:r>
        <w:rPr>
          <w:sz w:val="24"/>
        </w:rPr>
        <w:t>wide</w:t>
      </w:r>
      <w:r>
        <w:rPr>
          <w:spacing w:val="-2"/>
          <w:sz w:val="24"/>
        </w:rPr>
        <w:t xml:space="preserve"> </w:t>
      </w:r>
      <w:r>
        <w:rPr>
          <w:sz w:val="24"/>
        </w:rPr>
        <w:t>risk</w:t>
      </w:r>
      <w:r>
        <w:rPr>
          <w:spacing w:val="-3"/>
          <w:sz w:val="24"/>
        </w:rPr>
        <w:t xml:space="preserve"> </w:t>
      </w:r>
      <w:r>
        <w:rPr>
          <w:sz w:val="24"/>
        </w:rPr>
        <w:t>management</w:t>
      </w:r>
      <w:r>
        <w:rPr>
          <w:spacing w:val="-4"/>
          <w:sz w:val="24"/>
        </w:rPr>
        <w:t xml:space="preserve"> </w:t>
      </w:r>
      <w:r>
        <w:rPr>
          <w:spacing w:val="-2"/>
          <w:sz w:val="24"/>
        </w:rPr>
        <w:t>policies;</w:t>
      </w:r>
    </w:p>
    <w:p w14:paraId="18C96B19" w14:textId="77777777" w:rsidR="00BC17CD" w:rsidRDefault="001D6EF4">
      <w:pPr>
        <w:pStyle w:val="ListParagraph"/>
        <w:numPr>
          <w:ilvl w:val="2"/>
          <w:numId w:val="1"/>
        </w:numPr>
        <w:tabs>
          <w:tab w:val="left" w:pos="1200"/>
        </w:tabs>
        <w:spacing w:before="238"/>
        <w:ind w:right="837"/>
        <w:rPr>
          <w:sz w:val="24"/>
        </w:rPr>
      </w:pPr>
      <w:r>
        <w:rPr>
          <w:sz w:val="24"/>
        </w:rPr>
        <w:t>Oversight</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operation</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Company’s</w:t>
      </w:r>
      <w:r>
        <w:rPr>
          <w:spacing w:val="80"/>
          <w:sz w:val="24"/>
        </w:rPr>
        <w:t xml:space="preserve"> </w:t>
      </w:r>
      <w:r>
        <w:rPr>
          <w:sz w:val="24"/>
        </w:rPr>
        <w:t>enterprise</w:t>
      </w:r>
      <w:r>
        <w:rPr>
          <w:rFonts w:ascii="Cambria Math" w:hAnsi="Cambria Math"/>
          <w:sz w:val="24"/>
        </w:rPr>
        <w:t>‐</w:t>
      </w:r>
      <w:r>
        <w:rPr>
          <w:sz w:val="24"/>
        </w:rPr>
        <w:t>wide</w:t>
      </w:r>
      <w:r>
        <w:rPr>
          <w:spacing w:val="80"/>
          <w:sz w:val="24"/>
        </w:rPr>
        <w:t xml:space="preserve"> </w:t>
      </w:r>
      <w:r>
        <w:rPr>
          <w:sz w:val="24"/>
        </w:rPr>
        <w:t>risk management framework;</w:t>
      </w:r>
    </w:p>
    <w:p w14:paraId="021E60C6" w14:textId="77777777" w:rsidR="00BC17CD" w:rsidRDefault="001D6EF4">
      <w:pPr>
        <w:pStyle w:val="ListParagraph"/>
        <w:numPr>
          <w:ilvl w:val="2"/>
          <w:numId w:val="1"/>
        </w:numPr>
        <w:tabs>
          <w:tab w:val="left" w:pos="1199"/>
        </w:tabs>
        <w:spacing w:before="241"/>
        <w:ind w:left="1199" w:hanging="359"/>
        <w:rPr>
          <w:sz w:val="24"/>
        </w:rPr>
      </w:pPr>
      <w:r>
        <w:rPr>
          <w:sz w:val="24"/>
        </w:rPr>
        <w:t>Review</w:t>
      </w:r>
      <w:r>
        <w:rPr>
          <w:spacing w:val="-3"/>
          <w:sz w:val="24"/>
        </w:rPr>
        <w:t xml:space="preserve"> </w:t>
      </w:r>
      <w:r>
        <w:rPr>
          <w:sz w:val="24"/>
        </w:rPr>
        <w:t>of</w:t>
      </w:r>
      <w:r>
        <w:rPr>
          <w:spacing w:val="-1"/>
          <w:sz w:val="24"/>
        </w:rPr>
        <w:t xml:space="preserve"> </w:t>
      </w:r>
      <w:r>
        <w:rPr>
          <w:sz w:val="24"/>
        </w:rPr>
        <w:t>changes</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Company’s</w:t>
      </w:r>
      <w:r>
        <w:rPr>
          <w:spacing w:val="-3"/>
          <w:sz w:val="24"/>
        </w:rPr>
        <w:t xml:space="preserve"> </w:t>
      </w:r>
      <w:r>
        <w:rPr>
          <w:sz w:val="24"/>
        </w:rPr>
        <w:t>risk</w:t>
      </w:r>
      <w:r>
        <w:rPr>
          <w:spacing w:val="-2"/>
          <w:sz w:val="24"/>
        </w:rPr>
        <w:t xml:space="preserve"> </w:t>
      </w:r>
      <w:r>
        <w:rPr>
          <w:sz w:val="24"/>
        </w:rPr>
        <w:t>profile;</w:t>
      </w:r>
      <w:r>
        <w:rPr>
          <w:spacing w:val="-1"/>
          <w:sz w:val="24"/>
        </w:rPr>
        <w:t xml:space="preserve"> </w:t>
      </w:r>
      <w:r>
        <w:rPr>
          <w:spacing w:val="-5"/>
          <w:sz w:val="24"/>
        </w:rPr>
        <w:t>and</w:t>
      </w:r>
    </w:p>
    <w:p w14:paraId="6273325E" w14:textId="77777777" w:rsidR="00BC17CD" w:rsidRDefault="001D6EF4">
      <w:pPr>
        <w:pStyle w:val="ListParagraph"/>
        <w:numPr>
          <w:ilvl w:val="2"/>
          <w:numId w:val="1"/>
        </w:numPr>
        <w:tabs>
          <w:tab w:val="left" w:pos="1200"/>
          <w:tab w:val="left" w:pos="2440"/>
          <w:tab w:val="left" w:pos="2851"/>
          <w:tab w:val="left" w:pos="3398"/>
          <w:tab w:val="left" w:pos="4809"/>
          <w:tab w:val="left" w:pos="6233"/>
          <w:tab w:val="left" w:pos="6871"/>
          <w:tab w:val="left" w:pos="7322"/>
          <w:tab w:val="left" w:pos="7905"/>
        </w:tabs>
        <w:spacing w:before="238"/>
        <w:ind w:right="836"/>
        <w:rPr>
          <w:sz w:val="24"/>
        </w:rPr>
      </w:pPr>
      <w:r>
        <w:rPr>
          <w:spacing w:val="-2"/>
          <w:sz w:val="24"/>
        </w:rPr>
        <w:t>Oversight</w:t>
      </w:r>
      <w:r>
        <w:rPr>
          <w:sz w:val="24"/>
        </w:rPr>
        <w:tab/>
      </w:r>
      <w:r>
        <w:rPr>
          <w:spacing w:val="-6"/>
          <w:sz w:val="24"/>
        </w:rPr>
        <w:t>of</w:t>
      </w:r>
      <w:r>
        <w:rPr>
          <w:sz w:val="24"/>
        </w:rPr>
        <w:tab/>
      </w:r>
      <w:r>
        <w:rPr>
          <w:spacing w:val="-4"/>
          <w:sz w:val="24"/>
        </w:rPr>
        <w:t>the</w:t>
      </w:r>
      <w:r>
        <w:rPr>
          <w:sz w:val="24"/>
        </w:rPr>
        <w:tab/>
      </w:r>
      <w:r>
        <w:rPr>
          <w:spacing w:val="-2"/>
          <w:sz w:val="24"/>
        </w:rPr>
        <w:t>Company’s</w:t>
      </w:r>
      <w:r>
        <w:rPr>
          <w:sz w:val="24"/>
        </w:rPr>
        <w:tab/>
      </w:r>
      <w:r>
        <w:rPr>
          <w:spacing w:val="-2"/>
          <w:sz w:val="24"/>
        </w:rPr>
        <w:t>compliance</w:t>
      </w:r>
      <w:r>
        <w:rPr>
          <w:sz w:val="24"/>
        </w:rPr>
        <w:tab/>
      </w:r>
      <w:r>
        <w:rPr>
          <w:spacing w:val="-4"/>
          <w:sz w:val="24"/>
        </w:rPr>
        <w:t>with</w:t>
      </w:r>
      <w:r>
        <w:rPr>
          <w:sz w:val="24"/>
        </w:rPr>
        <w:tab/>
      </w:r>
      <w:r>
        <w:rPr>
          <w:spacing w:val="-4"/>
          <w:sz w:val="24"/>
        </w:rPr>
        <w:t>its</w:t>
      </w:r>
      <w:r>
        <w:rPr>
          <w:sz w:val="24"/>
        </w:rPr>
        <w:tab/>
      </w:r>
      <w:r>
        <w:rPr>
          <w:spacing w:val="-4"/>
          <w:sz w:val="24"/>
        </w:rPr>
        <w:t>risk</w:t>
      </w:r>
      <w:r>
        <w:rPr>
          <w:sz w:val="24"/>
        </w:rPr>
        <w:tab/>
      </w:r>
      <w:r>
        <w:rPr>
          <w:spacing w:val="-2"/>
          <w:sz w:val="24"/>
        </w:rPr>
        <w:t>appetite statement.</w:t>
      </w:r>
    </w:p>
    <w:p w14:paraId="786020F4" w14:textId="77777777" w:rsidR="00BC17CD" w:rsidRDefault="001D6EF4">
      <w:pPr>
        <w:pStyle w:val="BodyText"/>
        <w:spacing w:before="238"/>
        <w:ind w:right="113"/>
      </w:pPr>
      <w:r>
        <w:t>Management is responsible for the Company’s enterprise</w:t>
      </w:r>
      <w:r>
        <w:rPr>
          <w:rFonts w:ascii="Cambria Math" w:hAnsi="Cambria Math"/>
        </w:rPr>
        <w:t>‐</w:t>
      </w:r>
      <w:r>
        <w:t>wide risk management, designing, implementing, and maintaining an effective risk management framework for the Company, and planning for, and responding to, the Company’s material risks. The Committee’s and the Board’s role is one of oversight and review. The Committee shall receive and review the periodic and other reports made by management, and periodically meet with management, regarding the enterprise</w:t>
      </w:r>
      <w:r>
        <w:rPr>
          <w:rFonts w:ascii="Cambria Math" w:hAnsi="Cambria Math"/>
        </w:rPr>
        <w:t>‐</w:t>
      </w:r>
      <w:r>
        <w:t>wide risk management matters for which the Committee has oversight responsibility.</w:t>
      </w:r>
    </w:p>
    <w:p w14:paraId="1ADD3B8F" w14:textId="77777777" w:rsidR="00BC17CD" w:rsidRDefault="001D6EF4">
      <w:pPr>
        <w:pStyle w:val="BodyText"/>
        <w:spacing w:before="239"/>
        <w:ind w:right="112"/>
      </w:pPr>
      <w:r>
        <w:t>The Committee shall report to the Board regularly, and as the Committee determines appropriate, and shall be responsible for any other matters delegated to it by the Board.</w:t>
      </w:r>
    </w:p>
    <w:p w14:paraId="3442ADCC" w14:textId="77777777" w:rsidR="00BC17CD" w:rsidRDefault="001D6EF4">
      <w:pPr>
        <w:pStyle w:val="Heading1"/>
        <w:numPr>
          <w:ilvl w:val="1"/>
          <w:numId w:val="1"/>
        </w:numPr>
        <w:tabs>
          <w:tab w:val="left" w:pos="1199"/>
        </w:tabs>
        <w:spacing w:before="241"/>
        <w:ind w:left="1199" w:hanging="359"/>
      </w:pPr>
      <w:r>
        <w:t>Committee</w:t>
      </w:r>
      <w:r>
        <w:rPr>
          <w:spacing w:val="-3"/>
        </w:rPr>
        <w:t xml:space="preserve"> </w:t>
      </w:r>
      <w:r>
        <w:t>Resources</w:t>
      </w:r>
      <w:r>
        <w:rPr>
          <w:spacing w:val="-2"/>
        </w:rPr>
        <w:t xml:space="preserve"> </w:t>
      </w:r>
      <w:r>
        <w:t>and</w:t>
      </w:r>
      <w:r>
        <w:rPr>
          <w:spacing w:val="-2"/>
        </w:rPr>
        <w:t xml:space="preserve"> Expenses</w:t>
      </w:r>
    </w:p>
    <w:p w14:paraId="7D124492" w14:textId="77777777" w:rsidR="00BC17CD" w:rsidRDefault="001D6EF4">
      <w:pPr>
        <w:pStyle w:val="BodyText"/>
        <w:spacing w:before="240"/>
        <w:ind w:right="112"/>
      </w:pPr>
      <w:r>
        <w:t xml:space="preserve">The Board and management shall ensure that the Committee has adequate resources and authority to discharge its responsibilities. The Company shall provide appropriate funding for the payment of any expenses of the Committee that are necessary or appropriate in carrying out its duties, including expenses relating to any external consultants or advisers retained by the Committee. The Committee is authorized to obtain advice and assistance from internal or external legal, accounting, or other advisors at the Company’s expense without the prior approval of the Board or </w:t>
      </w:r>
      <w:r>
        <w:rPr>
          <w:spacing w:val="-2"/>
        </w:rPr>
        <w:t>management.</w:t>
      </w:r>
    </w:p>
    <w:p w14:paraId="40DD9099" w14:textId="77777777" w:rsidR="00BC17CD" w:rsidRDefault="00BC17CD">
      <w:pPr>
        <w:pStyle w:val="BodyText"/>
        <w:ind w:left="0"/>
        <w:jc w:val="left"/>
        <w:rPr>
          <w:sz w:val="20"/>
        </w:rPr>
      </w:pPr>
    </w:p>
    <w:p w14:paraId="0F01054B" w14:textId="77777777" w:rsidR="00BC17CD" w:rsidRDefault="001D6EF4">
      <w:pPr>
        <w:pStyle w:val="BodyText"/>
        <w:spacing w:before="228"/>
        <w:ind w:left="0"/>
        <w:jc w:val="left"/>
        <w:rPr>
          <w:sz w:val="20"/>
        </w:rPr>
      </w:pPr>
      <w:r>
        <w:rPr>
          <w:noProof/>
        </w:rPr>
        <mc:AlternateContent>
          <mc:Choice Requires="wps">
            <w:drawing>
              <wp:anchor distT="0" distB="0" distL="0" distR="0" simplePos="0" relativeHeight="487587840" behindDoc="1" locked="0" layoutInCell="1" allowOverlap="1" wp14:anchorId="276C7988" wp14:editId="077F1A98">
                <wp:simplePos x="0" y="0"/>
                <wp:positionH relativeFrom="page">
                  <wp:posOffset>914400</wp:posOffset>
                </wp:positionH>
                <wp:positionV relativeFrom="paragraph">
                  <wp:posOffset>306308</wp:posOffset>
                </wp:positionV>
                <wp:extent cx="1828800" cy="1079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8"/>
                              </a:lnTo>
                              <a:lnTo>
                                <a:pt x="1828800" y="1066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4EFF3" id="Graphic 1" o:spid="_x0000_s1026" style="position:absolute;margin-left:1in;margin-top:24.1pt;width:2in;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cU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" path="m1828800,l,,,10668r1828800,l1828800,xe" fillcolor="black" stroked="f">
                <v:path arrowok="t"/>
                <w10:wrap type="topAndBottom" anchorx="page"/>
              </v:shape>
            </w:pict>
          </mc:Fallback>
        </mc:AlternateContent>
      </w:r>
    </w:p>
    <w:p w14:paraId="3534BB34" w14:textId="77777777" w:rsidR="00BC17CD" w:rsidRDefault="001D6EF4">
      <w:pPr>
        <w:spacing w:before="106"/>
        <w:ind w:left="120" w:right="61" w:hanging="1"/>
        <w:rPr>
          <w:sz w:val="16"/>
        </w:rPr>
      </w:pPr>
      <w:bookmarkStart w:id="1" w:name="_bookmark0"/>
      <w:bookmarkEnd w:id="1"/>
      <w:r>
        <w:rPr>
          <w:sz w:val="16"/>
          <w:vertAlign w:val="superscript"/>
        </w:rPr>
        <w:t>1</w:t>
      </w:r>
      <w:r>
        <w:rPr>
          <w:sz w:val="16"/>
        </w:rPr>
        <w:t xml:space="preserve"> References made herein to</w:t>
      </w:r>
      <w:r>
        <w:rPr>
          <w:spacing w:val="-2"/>
          <w:sz w:val="16"/>
        </w:rPr>
        <w:t xml:space="preserve"> </w:t>
      </w:r>
      <w:r>
        <w:rPr>
          <w:sz w:val="16"/>
        </w:rPr>
        <w:t>actions taken</w:t>
      </w:r>
      <w:r>
        <w:rPr>
          <w:spacing w:val="-2"/>
          <w:sz w:val="16"/>
        </w:rPr>
        <w:t xml:space="preserve"> </w:t>
      </w:r>
      <w:r>
        <w:rPr>
          <w:sz w:val="16"/>
        </w:rPr>
        <w:t>by the “Board” shall require the</w:t>
      </w:r>
      <w:r>
        <w:rPr>
          <w:spacing w:val="-2"/>
          <w:sz w:val="16"/>
        </w:rPr>
        <w:t xml:space="preserve"> </w:t>
      </w:r>
      <w:r>
        <w:rPr>
          <w:sz w:val="16"/>
        </w:rPr>
        <w:t>minimum number</w:t>
      </w:r>
      <w:r>
        <w:rPr>
          <w:spacing w:val="-2"/>
          <w:sz w:val="16"/>
        </w:rPr>
        <w:t xml:space="preserve"> </w:t>
      </w:r>
      <w:r>
        <w:rPr>
          <w:sz w:val="16"/>
        </w:rPr>
        <w:t>of votes or consents required pursuant to both respective bylaws of the Company and the Bank, as applicable.</w:t>
      </w:r>
    </w:p>
    <w:p w14:paraId="42FE9321" w14:textId="77777777" w:rsidR="00BC17CD" w:rsidRDefault="001D6EF4">
      <w:pPr>
        <w:spacing w:before="149"/>
        <w:ind w:left="1" w:right="1"/>
        <w:jc w:val="center"/>
        <w:rPr>
          <w:sz w:val="20"/>
        </w:rPr>
      </w:pPr>
      <w:r>
        <w:rPr>
          <w:spacing w:val="-10"/>
          <w:sz w:val="20"/>
        </w:rPr>
        <w:t>1</w:t>
      </w:r>
    </w:p>
    <w:p w14:paraId="3B5F3FA4" w14:textId="77777777" w:rsidR="00BC17CD" w:rsidRDefault="00BC17CD">
      <w:pPr>
        <w:jc w:val="center"/>
        <w:rPr>
          <w:sz w:val="20"/>
        </w:rPr>
        <w:sectPr w:rsidR="00BC17CD">
          <w:type w:val="continuous"/>
          <w:pgSz w:w="12240" w:h="15840"/>
          <w:pgMar w:top="1200" w:right="1320" w:bottom="280" w:left="1320" w:header="720" w:footer="720" w:gutter="0"/>
          <w:cols w:space="720"/>
        </w:sectPr>
      </w:pPr>
    </w:p>
    <w:p w14:paraId="50194A92" w14:textId="77777777" w:rsidR="00BC17CD" w:rsidRDefault="00BC17CD">
      <w:pPr>
        <w:pStyle w:val="BodyText"/>
        <w:spacing w:before="9"/>
        <w:ind w:left="0"/>
        <w:jc w:val="left"/>
        <w:rPr>
          <w:sz w:val="6"/>
        </w:rPr>
      </w:pPr>
    </w:p>
    <w:p w14:paraId="754EB4A1" w14:textId="77777777" w:rsidR="00BC17CD" w:rsidRDefault="001D6EF4">
      <w:pPr>
        <w:pStyle w:val="BodyText"/>
        <w:spacing w:line="20" w:lineRule="exact"/>
        <w:ind w:left="-10" w:right="-44"/>
        <w:jc w:val="left"/>
        <w:rPr>
          <w:sz w:val="2"/>
        </w:rPr>
      </w:pPr>
      <w:r>
        <w:rPr>
          <w:noProof/>
          <w:sz w:val="2"/>
        </w:rPr>
        <mc:AlternateContent>
          <mc:Choice Requires="wpg">
            <w:drawing>
              <wp:inline distT="0" distB="0" distL="0" distR="0" wp14:anchorId="322BF7EF" wp14:editId="5BD366F0">
                <wp:extent cx="609028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285" cy="6350"/>
                          <a:chOff x="0" y="0"/>
                          <a:chExt cx="6090285" cy="6350"/>
                        </a:xfrm>
                      </wpg:grpSpPr>
                      <wps:wsp>
                        <wps:cNvPr id="4" name="Graphic 4"/>
                        <wps:cNvSpPr/>
                        <wps:spPr>
                          <a:xfrm>
                            <a:off x="-12" y="0"/>
                            <a:ext cx="6090285" cy="6350"/>
                          </a:xfrm>
                          <a:custGeom>
                            <a:avLst/>
                            <a:gdLst/>
                            <a:ahLst/>
                            <a:cxnLst/>
                            <a:rect l="l" t="t" r="r" b="b"/>
                            <a:pathLst>
                              <a:path w="6090285" h="6350">
                                <a:moveTo>
                                  <a:pt x="6089916" y="0"/>
                                </a:moveTo>
                                <a:lnTo>
                                  <a:pt x="6089916" y="0"/>
                                </a:lnTo>
                                <a:lnTo>
                                  <a:pt x="0" y="0"/>
                                </a:lnTo>
                                <a:lnTo>
                                  <a:pt x="0" y="6108"/>
                                </a:lnTo>
                                <a:lnTo>
                                  <a:pt x="6089916" y="6108"/>
                                </a:lnTo>
                                <a:lnTo>
                                  <a:pt x="6089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385061" id="Group 3" o:spid="_x0000_s1026" style="width:479.55pt;height:.5pt;mso-position-horizontal-relative:char;mso-position-vertical-relative:line" coordsize="609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">
                <v:shape id="Graphic 4" o:spid="_x0000_s1027" style="position:absolute;width:60902;height:63;visibility:visible;mso-wrap-style:square;v-text-anchor:top" coordsize="6090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" path="m6089916,r,l,,,6108r6089916,l6089916,xe" fillcolor="black" stroked="f">
                  <v:path arrowok="t"/>
                </v:shape>
                <w10:anchorlock/>
              </v:group>
            </w:pict>
          </mc:Fallback>
        </mc:AlternateContent>
      </w:r>
    </w:p>
    <w:p w14:paraId="67746C69" w14:textId="77777777" w:rsidR="00BC17CD" w:rsidRDefault="00BC17CD">
      <w:pPr>
        <w:pStyle w:val="BodyText"/>
        <w:spacing w:before="7"/>
        <w:ind w:left="0"/>
        <w:jc w:val="left"/>
      </w:pPr>
    </w:p>
    <w:p w14:paraId="786FF5F2" w14:textId="77777777" w:rsidR="00BC17CD" w:rsidRDefault="001D6EF4">
      <w:pPr>
        <w:pStyle w:val="Heading1"/>
        <w:numPr>
          <w:ilvl w:val="0"/>
          <w:numId w:val="1"/>
        </w:numPr>
        <w:tabs>
          <w:tab w:val="left" w:pos="839"/>
        </w:tabs>
        <w:spacing w:before="0"/>
        <w:ind w:left="839" w:hanging="719"/>
      </w:pPr>
      <w:bookmarkStart w:id="2" w:name="II._OVERSIGHT_RESPONSIBILITIES"/>
      <w:bookmarkEnd w:id="2"/>
      <w:r>
        <w:t>OVERSIGHT</w:t>
      </w:r>
      <w:r>
        <w:rPr>
          <w:spacing w:val="-2"/>
        </w:rPr>
        <w:t xml:space="preserve"> RESPONSIBILITIES</w:t>
      </w:r>
    </w:p>
    <w:p w14:paraId="7A3B4424" w14:textId="77777777" w:rsidR="00BC17CD" w:rsidRDefault="001D6EF4">
      <w:pPr>
        <w:pStyle w:val="ListParagraph"/>
        <w:numPr>
          <w:ilvl w:val="1"/>
          <w:numId w:val="1"/>
        </w:numPr>
        <w:tabs>
          <w:tab w:val="left" w:pos="1199"/>
        </w:tabs>
        <w:ind w:left="1199" w:hanging="359"/>
        <w:rPr>
          <w:b/>
          <w:sz w:val="24"/>
        </w:rPr>
      </w:pPr>
      <w:r>
        <w:rPr>
          <w:b/>
          <w:sz w:val="24"/>
        </w:rPr>
        <w:t>Risk</w:t>
      </w:r>
      <w:r>
        <w:rPr>
          <w:b/>
          <w:spacing w:val="-2"/>
          <w:sz w:val="24"/>
        </w:rPr>
        <w:t xml:space="preserve"> Policies</w:t>
      </w:r>
    </w:p>
    <w:p w14:paraId="4EB20367" w14:textId="77777777" w:rsidR="00BC17CD" w:rsidRDefault="001D6EF4">
      <w:pPr>
        <w:pStyle w:val="BodyText"/>
        <w:spacing w:before="240"/>
        <w:ind w:right="115"/>
      </w:pPr>
      <w:r>
        <w:t>The Committee shall approve and periodically review the enterprise</w:t>
      </w:r>
      <w:r>
        <w:rPr>
          <w:rFonts w:ascii="Cambria Math" w:hAnsi="Cambria Math"/>
        </w:rPr>
        <w:t>‐</w:t>
      </w:r>
      <w:r>
        <w:t>wide risk management policies of the Company’s total operations.</w:t>
      </w:r>
    </w:p>
    <w:p w14:paraId="1E3956AB" w14:textId="77777777" w:rsidR="00BC17CD" w:rsidRDefault="001D6EF4">
      <w:pPr>
        <w:pStyle w:val="Heading1"/>
        <w:numPr>
          <w:ilvl w:val="1"/>
          <w:numId w:val="1"/>
        </w:numPr>
        <w:tabs>
          <w:tab w:val="left" w:pos="1199"/>
        </w:tabs>
        <w:ind w:left="1199" w:hanging="359"/>
      </w:pPr>
      <w:r>
        <w:t>Risk</w:t>
      </w:r>
      <w:r>
        <w:rPr>
          <w:spacing w:val="-2"/>
        </w:rPr>
        <w:t xml:space="preserve"> </w:t>
      </w:r>
      <w:r>
        <w:t>Management</w:t>
      </w:r>
      <w:r>
        <w:rPr>
          <w:spacing w:val="-2"/>
        </w:rPr>
        <w:t xml:space="preserve"> Framework</w:t>
      </w:r>
    </w:p>
    <w:p w14:paraId="18BEA634" w14:textId="77777777" w:rsidR="00BC17CD" w:rsidRDefault="001D6EF4">
      <w:pPr>
        <w:pStyle w:val="BodyText"/>
        <w:spacing w:before="239"/>
        <w:ind w:right="114"/>
      </w:pPr>
      <w:r>
        <w:t>The Committee shall oversee the operation of the Company’s enterprise</w:t>
      </w:r>
      <w:r>
        <w:rPr>
          <w:rFonts w:ascii="Cambria Math" w:hAnsi="Cambria Math"/>
        </w:rPr>
        <w:t>‐</w:t>
      </w:r>
      <w:r>
        <w:t>wide risk management framework, which includes risk management policies and procedures establishing risk management governance, risk management procedures, and risk control infrastructure for the Company’s total operations, and processes and systems</w:t>
      </w:r>
      <w:r>
        <w:rPr>
          <w:spacing w:val="80"/>
        </w:rPr>
        <w:t xml:space="preserve"> </w:t>
      </w:r>
      <w:r>
        <w:t>for implementing and monitoring compliance with such policies and procedures, including processes and systems for:</w:t>
      </w:r>
    </w:p>
    <w:p w14:paraId="64FAE8B0" w14:textId="77777777" w:rsidR="00BC17CD" w:rsidRDefault="001D6EF4">
      <w:pPr>
        <w:pStyle w:val="ListParagraph"/>
        <w:numPr>
          <w:ilvl w:val="2"/>
          <w:numId w:val="1"/>
        </w:numPr>
        <w:tabs>
          <w:tab w:val="left" w:pos="1200"/>
        </w:tabs>
        <w:spacing w:before="241"/>
        <w:ind w:right="835"/>
        <w:jc w:val="both"/>
        <w:rPr>
          <w:sz w:val="24"/>
        </w:rPr>
      </w:pPr>
      <w:r>
        <w:rPr>
          <w:sz w:val="24"/>
        </w:rPr>
        <w:t>Identifying and reporting risks and risk management deficiencies, including regarding emerging risks, and ensuring effective and timely implementation of actions to address emerging risks and risk management deficiencies for the Company’s total operations;</w:t>
      </w:r>
    </w:p>
    <w:p w14:paraId="08BD92F0" w14:textId="77777777" w:rsidR="00BC17CD" w:rsidRDefault="001D6EF4">
      <w:pPr>
        <w:pStyle w:val="ListParagraph"/>
        <w:numPr>
          <w:ilvl w:val="2"/>
          <w:numId w:val="1"/>
        </w:numPr>
        <w:tabs>
          <w:tab w:val="left" w:pos="1200"/>
        </w:tabs>
        <w:spacing w:before="239"/>
        <w:ind w:right="835"/>
        <w:jc w:val="both"/>
        <w:rPr>
          <w:sz w:val="24"/>
        </w:rPr>
      </w:pPr>
      <w:r>
        <w:rPr>
          <w:sz w:val="24"/>
        </w:rPr>
        <w:t>Establishing managerial and employee responsibility for risk management (e.g., related to training and risk culture);</w:t>
      </w:r>
    </w:p>
    <w:p w14:paraId="6BBAC359" w14:textId="77777777" w:rsidR="00BC17CD" w:rsidRDefault="001D6EF4">
      <w:pPr>
        <w:pStyle w:val="ListParagraph"/>
        <w:numPr>
          <w:ilvl w:val="2"/>
          <w:numId w:val="1"/>
        </w:numPr>
        <w:tabs>
          <w:tab w:val="left" w:pos="1200"/>
        </w:tabs>
        <w:spacing w:before="236"/>
        <w:ind w:right="838"/>
        <w:jc w:val="both"/>
        <w:rPr>
          <w:sz w:val="24"/>
        </w:rPr>
      </w:pPr>
      <w:r>
        <w:rPr>
          <w:sz w:val="24"/>
        </w:rPr>
        <w:t>Ensuring the independence of the Company’s risk management function; and</w:t>
      </w:r>
    </w:p>
    <w:p w14:paraId="76E51614" w14:textId="77777777" w:rsidR="00BC17CD" w:rsidRDefault="001D6EF4">
      <w:pPr>
        <w:pStyle w:val="ListParagraph"/>
        <w:numPr>
          <w:ilvl w:val="2"/>
          <w:numId w:val="1"/>
        </w:numPr>
        <w:tabs>
          <w:tab w:val="left" w:pos="1199"/>
        </w:tabs>
        <w:spacing w:before="239"/>
        <w:ind w:left="1199" w:right="838"/>
        <w:jc w:val="both"/>
        <w:rPr>
          <w:sz w:val="24"/>
        </w:rPr>
      </w:pPr>
      <w:r>
        <w:rPr>
          <w:sz w:val="24"/>
        </w:rPr>
        <w:t>Integrating risk management and associated controls with</w:t>
      </w:r>
      <w:r>
        <w:rPr>
          <w:spacing w:val="40"/>
          <w:sz w:val="24"/>
        </w:rPr>
        <w:t xml:space="preserve"> </w:t>
      </w:r>
      <w:r>
        <w:rPr>
          <w:sz w:val="24"/>
        </w:rPr>
        <w:t>management goals and compensation structure.</w:t>
      </w:r>
    </w:p>
    <w:p w14:paraId="4D8CFB12" w14:textId="77777777" w:rsidR="00BC17CD" w:rsidRDefault="001D6EF4">
      <w:pPr>
        <w:pStyle w:val="BodyText"/>
        <w:spacing w:before="238"/>
        <w:ind w:right="114"/>
      </w:pPr>
      <w:r>
        <w:t>The Committee shall review management’s assessment of the effectiveness of the Company’s risk management function, including the appropriateness and effectiveness of resources dedicated to risk management activities.</w:t>
      </w:r>
    </w:p>
    <w:p w14:paraId="3488BA7B" w14:textId="77777777" w:rsidR="00BC17CD" w:rsidRDefault="001D6EF4">
      <w:pPr>
        <w:pStyle w:val="Heading1"/>
        <w:numPr>
          <w:ilvl w:val="1"/>
          <w:numId w:val="1"/>
        </w:numPr>
        <w:tabs>
          <w:tab w:val="left" w:pos="1199"/>
        </w:tabs>
        <w:ind w:left="1199" w:hanging="359"/>
      </w:pPr>
      <w:r>
        <w:t xml:space="preserve">Risk </w:t>
      </w:r>
      <w:r>
        <w:rPr>
          <w:spacing w:val="-2"/>
        </w:rPr>
        <w:t>Profile</w:t>
      </w:r>
    </w:p>
    <w:p w14:paraId="7C66CB75" w14:textId="77777777" w:rsidR="00BC17CD" w:rsidRDefault="001D6EF4">
      <w:pPr>
        <w:pStyle w:val="BodyText"/>
        <w:spacing w:before="240"/>
        <w:ind w:right="116"/>
      </w:pPr>
      <w:r>
        <w:t>The Committee shall monitor and understand changes to the risk profile of the Company, with a focus on the most significant risks faced by the Company, and shall escalate to the Board any matters of concern for discussion and potential action.</w:t>
      </w:r>
    </w:p>
    <w:p w14:paraId="0E985259" w14:textId="77777777" w:rsidR="00BC17CD" w:rsidRDefault="001D6EF4">
      <w:pPr>
        <w:pStyle w:val="Heading1"/>
        <w:numPr>
          <w:ilvl w:val="1"/>
          <w:numId w:val="1"/>
        </w:numPr>
        <w:tabs>
          <w:tab w:val="left" w:pos="1199"/>
        </w:tabs>
        <w:spacing w:before="241"/>
        <w:ind w:left="1199" w:hanging="359"/>
      </w:pPr>
      <w:r>
        <w:t xml:space="preserve">Risk </w:t>
      </w:r>
      <w:r>
        <w:rPr>
          <w:spacing w:val="-2"/>
        </w:rPr>
        <w:t>Appetite</w:t>
      </w:r>
    </w:p>
    <w:p w14:paraId="049BEA24" w14:textId="77777777" w:rsidR="00BC17CD" w:rsidRDefault="001D6EF4">
      <w:pPr>
        <w:pStyle w:val="BodyText"/>
        <w:spacing w:before="240"/>
        <w:ind w:left="119" w:right="112"/>
      </w:pPr>
      <w:r>
        <w:t>The</w:t>
      </w:r>
      <w:r>
        <w:rPr>
          <w:spacing w:val="-1"/>
        </w:rPr>
        <w:t xml:space="preserve"> </w:t>
      </w:r>
      <w:r>
        <w:t>Board</w:t>
      </w:r>
      <w:r>
        <w:rPr>
          <w:spacing w:val="-1"/>
        </w:rPr>
        <w:t xml:space="preserve"> </w:t>
      </w:r>
      <w:r>
        <w:t>will review</w:t>
      </w:r>
      <w:r>
        <w:rPr>
          <w:spacing w:val="-2"/>
        </w:rPr>
        <w:t xml:space="preserve"> </w:t>
      </w:r>
      <w:r>
        <w:t>and</w:t>
      </w:r>
      <w:r>
        <w:rPr>
          <w:spacing w:val="-1"/>
        </w:rPr>
        <w:t xml:space="preserve"> </w:t>
      </w:r>
      <w:r>
        <w:t>approve</w:t>
      </w:r>
      <w:r>
        <w:rPr>
          <w:spacing w:val="-1"/>
        </w:rPr>
        <w:t xml:space="preserve"> </w:t>
      </w:r>
      <w:r>
        <w:t>the Company’s risk</w:t>
      </w:r>
      <w:r>
        <w:rPr>
          <w:spacing w:val="-2"/>
        </w:rPr>
        <w:t xml:space="preserve"> </w:t>
      </w:r>
      <w:r>
        <w:t>appetite</w:t>
      </w:r>
      <w:r>
        <w:rPr>
          <w:spacing w:val="-1"/>
        </w:rPr>
        <w:t xml:space="preserve"> </w:t>
      </w:r>
      <w:r>
        <w:t>statement</w:t>
      </w:r>
      <w:r>
        <w:rPr>
          <w:spacing w:val="-1"/>
        </w:rPr>
        <w:t xml:space="preserve"> </w:t>
      </w:r>
      <w:r>
        <w:t>on</w:t>
      </w:r>
      <w:r>
        <w:rPr>
          <w:spacing w:val="-2"/>
        </w:rPr>
        <w:t xml:space="preserve"> </w:t>
      </w:r>
      <w:r>
        <w:t>at least</w:t>
      </w:r>
      <w:r>
        <w:rPr>
          <w:spacing w:val="-1"/>
        </w:rPr>
        <w:t xml:space="preserve"> </w:t>
      </w:r>
      <w:r>
        <w:t>an annual basis or as otherwise required by the Company’s risk appetite statement. The Committee shall oversee the Company’s compliance with the risk appetite statement on behalf of the Board and shall make recommendations for any changes to risk appetite for</w:t>
      </w:r>
      <w:r>
        <w:rPr>
          <w:spacing w:val="-4"/>
        </w:rPr>
        <w:t xml:space="preserve"> </w:t>
      </w:r>
      <w:r>
        <w:t>Board</w:t>
      </w:r>
      <w:r>
        <w:rPr>
          <w:spacing w:val="-4"/>
        </w:rPr>
        <w:t xml:space="preserve"> </w:t>
      </w:r>
      <w:r>
        <w:t>approval.</w:t>
      </w:r>
      <w:r>
        <w:rPr>
          <w:spacing w:val="-2"/>
        </w:rPr>
        <w:t xml:space="preserve"> </w:t>
      </w:r>
      <w:r>
        <w:t>The</w:t>
      </w:r>
      <w:r>
        <w:rPr>
          <w:spacing w:val="-2"/>
        </w:rPr>
        <w:t xml:space="preserve"> </w:t>
      </w:r>
      <w:r>
        <w:t>Committee</w:t>
      </w:r>
      <w:r>
        <w:rPr>
          <w:spacing w:val="-2"/>
        </w:rPr>
        <w:t xml:space="preserve"> </w:t>
      </w:r>
      <w:r>
        <w:t>shall</w:t>
      </w:r>
      <w:r>
        <w:rPr>
          <w:spacing w:val="-3"/>
        </w:rPr>
        <w:t xml:space="preserve"> </w:t>
      </w:r>
      <w:r>
        <w:t>review</w:t>
      </w:r>
      <w:r>
        <w:rPr>
          <w:spacing w:val="-3"/>
        </w:rPr>
        <w:t xml:space="preserve"> </w:t>
      </w:r>
      <w:r>
        <w:t>and</w:t>
      </w:r>
      <w:r>
        <w:rPr>
          <w:spacing w:val="-2"/>
        </w:rPr>
        <w:t xml:space="preserve"> </w:t>
      </w:r>
      <w:r>
        <w:t>take</w:t>
      </w:r>
      <w:r>
        <w:rPr>
          <w:spacing w:val="-2"/>
        </w:rPr>
        <w:t xml:space="preserve"> </w:t>
      </w:r>
      <w:r>
        <w:t>appropriate</w:t>
      </w:r>
      <w:r>
        <w:rPr>
          <w:spacing w:val="-2"/>
        </w:rPr>
        <w:t xml:space="preserve"> </w:t>
      </w:r>
      <w:r>
        <w:t>action</w:t>
      </w:r>
      <w:r>
        <w:rPr>
          <w:spacing w:val="-2"/>
        </w:rPr>
        <w:t xml:space="preserve"> </w:t>
      </w:r>
      <w:r>
        <w:t>in</w:t>
      </w:r>
      <w:r>
        <w:rPr>
          <w:spacing w:val="-2"/>
        </w:rPr>
        <w:t xml:space="preserve"> </w:t>
      </w:r>
      <w:r>
        <w:t>response</w:t>
      </w:r>
    </w:p>
    <w:p w14:paraId="6C721754" w14:textId="77777777" w:rsidR="00BC17CD" w:rsidRDefault="00BC17CD">
      <w:pPr>
        <w:pStyle w:val="BodyText"/>
        <w:ind w:left="0"/>
        <w:jc w:val="left"/>
        <w:rPr>
          <w:sz w:val="20"/>
        </w:rPr>
      </w:pPr>
    </w:p>
    <w:p w14:paraId="6FF5F0D1" w14:textId="77777777" w:rsidR="00BC17CD" w:rsidRDefault="00BC17CD">
      <w:pPr>
        <w:pStyle w:val="BodyText"/>
        <w:spacing w:before="227"/>
        <w:ind w:left="0"/>
        <w:jc w:val="left"/>
        <w:rPr>
          <w:sz w:val="20"/>
        </w:rPr>
      </w:pPr>
    </w:p>
    <w:p w14:paraId="49247324" w14:textId="77777777" w:rsidR="00BC17CD" w:rsidRDefault="001D6EF4">
      <w:pPr>
        <w:spacing w:before="1"/>
        <w:ind w:left="1" w:right="1"/>
        <w:jc w:val="center"/>
        <w:rPr>
          <w:sz w:val="20"/>
        </w:rPr>
      </w:pPr>
      <w:r>
        <w:rPr>
          <w:spacing w:val="-10"/>
          <w:sz w:val="20"/>
        </w:rPr>
        <w:t>2</w:t>
      </w:r>
    </w:p>
    <w:p w14:paraId="1662179A" w14:textId="77777777" w:rsidR="00BC17CD" w:rsidRDefault="00BC17CD">
      <w:pPr>
        <w:jc w:val="center"/>
        <w:rPr>
          <w:sz w:val="20"/>
        </w:rPr>
        <w:sectPr w:rsidR="00BC17CD">
          <w:headerReference w:type="default" r:id="rId7"/>
          <w:pgSz w:w="12240" w:h="15840"/>
          <w:pgMar w:top="1200" w:right="1320" w:bottom="280" w:left="1320" w:header="658" w:footer="0" w:gutter="0"/>
          <w:cols w:space="720"/>
        </w:sectPr>
      </w:pPr>
    </w:p>
    <w:p w14:paraId="4C303B86" w14:textId="77777777" w:rsidR="00BC17CD" w:rsidRDefault="00BC17CD">
      <w:pPr>
        <w:pStyle w:val="BodyText"/>
        <w:spacing w:before="17"/>
        <w:ind w:left="0"/>
        <w:jc w:val="left"/>
      </w:pPr>
    </w:p>
    <w:p w14:paraId="71684F94" w14:textId="77777777" w:rsidR="00BC17CD" w:rsidRDefault="001D6EF4">
      <w:pPr>
        <w:pStyle w:val="BodyText"/>
        <w:ind w:right="112"/>
      </w:pPr>
      <w:r>
        <w:t>to notifications from management in the event any inner thresholds or outer limits pursuant to the Company’s risk appetite statement are exceeded.</w:t>
      </w:r>
    </w:p>
    <w:p w14:paraId="49C1E10B" w14:textId="77777777" w:rsidR="00BC17CD" w:rsidRDefault="001D6EF4">
      <w:pPr>
        <w:pStyle w:val="Heading1"/>
        <w:numPr>
          <w:ilvl w:val="0"/>
          <w:numId w:val="1"/>
        </w:numPr>
        <w:tabs>
          <w:tab w:val="left" w:pos="839"/>
        </w:tabs>
        <w:ind w:left="839" w:hanging="719"/>
      </w:pPr>
      <w:bookmarkStart w:id="3" w:name="III._MEMBERSHIP,_MEETINGS_AND_DELEGATION"/>
      <w:bookmarkEnd w:id="3"/>
      <w:r>
        <w:t>MEMBERSHIP,</w:t>
      </w:r>
      <w:r>
        <w:rPr>
          <w:spacing w:val="-5"/>
        </w:rPr>
        <w:t xml:space="preserve"> </w:t>
      </w:r>
      <w:r>
        <w:t>MEETINGS</w:t>
      </w:r>
      <w:r>
        <w:rPr>
          <w:spacing w:val="-3"/>
        </w:rPr>
        <w:t xml:space="preserve"> </w:t>
      </w:r>
      <w:r>
        <w:t>AND</w:t>
      </w:r>
      <w:r>
        <w:rPr>
          <w:spacing w:val="-3"/>
        </w:rPr>
        <w:t xml:space="preserve"> </w:t>
      </w:r>
      <w:r>
        <w:t>DELEGATION</w:t>
      </w:r>
      <w:r>
        <w:rPr>
          <w:spacing w:val="-4"/>
        </w:rPr>
        <w:t xml:space="preserve"> </w:t>
      </w:r>
      <w:r>
        <w:t>OF</w:t>
      </w:r>
      <w:r>
        <w:rPr>
          <w:spacing w:val="-3"/>
        </w:rPr>
        <w:t xml:space="preserve"> </w:t>
      </w:r>
      <w:r>
        <w:rPr>
          <w:spacing w:val="-2"/>
        </w:rPr>
        <w:t>AUTHORITY</w:t>
      </w:r>
    </w:p>
    <w:p w14:paraId="2DE33BA3" w14:textId="77777777" w:rsidR="00BC17CD" w:rsidRDefault="001D6EF4">
      <w:pPr>
        <w:pStyle w:val="ListParagraph"/>
        <w:numPr>
          <w:ilvl w:val="1"/>
          <w:numId w:val="1"/>
        </w:numPr>
        <w:tabs>
          <w:tab w:val="left" w:pos="1199"/>
        </w:tabs>
        <w:ind w:left="1199" w:hanging="359"/>
        <w:rPr>
          <w:b/>
          <w:sz w:val="24"/>
        </w:rPr>
      </w:pPr>
      <w:r>
        <w:rPr>
          <w:b/>
          <w:spacing w:val="-2"/>
          <w:sz w:val="24"/>
        </w:rPr>
        <w:t>Membership</w:t>
      </w:r>
    </w:p>
    <w:p w14:paraId="0173B17D" w14:textId="77777777" w:rsidR="00BC17CD" w:rsidRDefault="001D6EF4">
      <w:pPr>
        <w:pStyle w:val="BodyText"/>
        <w:spacing w:before="240"/>
        <w:ind w:right="112"/>
      </w:pPr>
      <w:r>
        <w:t>The Committee shall consist of three (3) or more members appointed by the Board of Directors. The Chairman of the Committee shall satisfy the “independent director” requirements of Item 407 of Regulation S-K promulgated by the U.S. Securities and Exchange Commission, Section 252.22 of Regulation YY and any other independence or</w:t>
      </w:r>
      <w:r>
        <w:rPr>
          <w:spacing w:val="-1"/>
        </w:rPr>
        <w:t xml:space="preserve"> </w:t>
      </w:r>
      <w:r>
        <w:t>membership requirements</w:t>
      </w:r>
      <w:r>
        <w:rPr>
          <w:spacing w:val="-1"/>
        </w:rPr>
        <w:t xml:space="preserve"> </w:t>
      </w:r>
      <w:r>
        <w:t>in accordance with laws, rules</w:t>
      </w:r>
      <w:r>
        <w:rPr>
          <w:spacing w:val="-1"/>
        </w:rPr>
        <w:t xml:space="preserve"> </w:t>
      </w:r>
      <w:r>
        <w:t>or</w:t>
      </w:r>
      <w:r>
        <w:rPr>
          <w:spacing w:val="-1"/>
        </w:rPr>
        <w:t xml:space="preserve"> </w:t>
      </w:r>
      <w:r>
        <w:t>regulations, including the rules and regulations of the Securities and Exchange Commission as may be in effect from time to time. Additionally, at least one member of the Committee will have experience identifying,</w:t>
      </w:r>
      <w:r>
        <w:rPr>
          <w:spacing w:val="-3"/>
        </w:rPr>
        <w:t xml:space="preserve"> </w:t>
      </w:r>
      <w:r>
        <w:t>assessing, and</w:t>
      </w:r>
      <w:r>
        <w:rPr>
          <w:spacing w:val="-2"/>
        </w:rPr>
        <w:t xml:space="preserve"> </w:t>
      </w:r>
      <w:r>
        <w:t>managing risk</w:t>
      </w:r>
      <w:r>
        <w:rPr>
          <w:spacing w:val="-1"/>
        </w:rPr>
        <w:t xml:space="preserve"> </w:t>
      </w:r>
      <w:r>
        <w:t>exposures</w:t>
      </w:r>
      <w:r>
        <w:rPr>
          <w:spacing w:val="-3"/>
        </w:rPr>
        <w:t xml:space="preserve"> </w:t>
      </w:r>
      <w:r>
        <w:t>of large, complex</w:t>
      </w:r>
      <w:r>
        <w:rPr>
          <w:spacing w:val="-3"/>
        </w:rPr>
        <w:t xml:space="preserve"> </w:t>
      </w:r>
      <w:r>
        <w:t>firms.</w:t>
      </w:r>
    </w:p>
    <w:p w14:paraId="4E6CB0A5" w14:textId="77777777" w:rsidR="00BC17CD" w:rsidRDefault="001D6EF4">
      <w:pPr>
        <w:pStyle w:val="Heading1"/>
        <w:numPr>
          <w:ilvl w:val="1"/>
          <w:numId w:val="1"/>
        </w:numPr>
        <w:tabs>
          <w:tab w:val="left" w:pos="1199"/>
        </w:tabs>
        <w:ind w:left="1199" w:hanging="359"/>
      </w:pPr>
      <w:r>
        <w:t>Appointment</w:t>
      </w:r>
      <w:r>
        <w:rPr>
          <w:spacing w:val="-5"/>
        </w:rPr>
        <w:t xml:space="preserve"> </w:t>
      </w:r>
      <w:r>
        <w:t>and</w:t>
      </w:r>
      <w:r>
        <w:rPr>
          <w:spacing w:val="-4"/>
        </w:rPr>
        <w:t xml:space="preserve"> Term</w:t>
      </w:r>
    </w:p>
    <w:p w14:paraId="3AC1988A" w14:textId="77777777" w:rsidR="00BC17CD" w:rsidRDefault="001D6EF4">
      <w:pPr>
        <w:pStyle w:val="BodyText"/>
        <w:spacing w:before="240"/>
        <w:ind w:right="113" w:firstLine="67"/>
      </w:pPr>
      <w:r>
        <w:t>The Corporate Governance and Nominating Committee of the Board, in conjunction with the Board Chair, shall</w:t>
      </w:r>
      <w:r>
        <w:rPr>
          <w:spacing w:val="-1"/>
        </w:rPr>
        <w:t xml:space="preserve"> </w:t>
      </w:r>
      <w:r>
        <w:t>nominate for</w:t>
      </w:r>
      <w:r>
        <w:rPr>
          <w:spacing w:val="-1"/>
        </w:rPr>
        <w:t xml:space="preserve"> </w:t>
      </w:r>
      <w:r>
        <w:t>Board approval</w:t>
      </w:r>
      <w:r>
        <w:rPr>
          <w:spacing w:val="-1"/>
        </w:rPr>
        <w:t xml:space="preserve"> </w:t>
      </w:r>
      <w:r>
        <w:t>the Committee chairperson (the “Chair”) and other</w:t>
      </w:r>
      <w:r>
        <w:rPr>
          <w:spacing w:val="-3"/>
        </w:rPr>
        <w:t xml:space="preserve"> </w:t>
      </w:r>
      <w:r>
        <w:t>members</w:t>
      </w:r>
      <w:r>
        <w:rPr>
          <w:spacing w:val="-2"/>
        </w:rPr>
        <w:t xml:space="preserve"> </w:t>
      </w:r>
      <w:r>
        <w:t>of</w:t>
      </w:r>
      <w:r>
        <w:rPr>
          <w:spacing w:val="-1"/>
        </w:rPr>
        <w:t xml:space="preserve"> </w:t>
      </w:r>
      <w:r>
        <w:t>the</w:t>
      </w:r>
      <w:r>
        <w:rPr>
          <w:spacing w:val="-1"/>
        </w:rPr>
        <w:t xml:space="preserve"> </w:t>
      </w:r>
      <w:r>
        <w:t>Committee to</w:t>
      </w:r>
      <w:r>
        <w:rPr>
          <w:spacing w:val="-1"/>
        </w:rPr>
        <w:t xml:space="preserve"> </w:t>
      </w:r>
      <w:r>
        <w:t>serve</w:t>
      </w:r>
      <w:r>
        <w:rPr>
          <w:spacing w:val="-1"/>
        </w:rPr>
        <w:t xml:space="preserve"> </w:t>
      </w:r>
      <w:r>
        <w:t>for a</w:t>
      </w:r>
      <w:r>
        <w:rPr>
          <w:spacing w:val="-1"/>
        </w:rPr>
        <w:t xml:space="preserve"> </w:t>
      </w:r>
      <w:r>
        <w:t>term of</w:t>
      </w:r>
      <w:r>
        <w:rPr>
          <w:spacing w:val="-1"/>
        </w:rPr>
        <w:t xml:space="preserve"> </w:t>
      </w:r>
      <w:r>
        <w:t>one</w:t>
      </w:r>
      <w:r>
        <w:rPr>
          <w:spacing w:val="-1"/>
        </w:rPr>
        <w:t xml:space="preserve"> </w:t>
      </w:r>
      <w:r>
        <w:t>year each,</w:t>
      </w:r>
      <w:r>
        <w:rPr>
          <w:spacing w:val="-1"/>
        </w:rPr>
        <w:t xml:space="preserve"> </w:t>
      </w:r>
      <w:r>
        <w:t>or in the case of vacancies, such other time period determined by the Board.</w:t>
      </w:r>
      <w:r>
        <w:rPr>
          <w:spacing w:val="40"/>
        </w:rPr>
        <w:t xml:space="preserve"> </w:t>
      </w:r>
      <w:r>
        <w:t>The Chair and Committee members shall serve at the discretion of the Board.</w:t>
      </w:r>
    </w:p>
    <w:p w14:paraId="3005A8F8" w14:textId="77777777" w:rsidR="00BC17CD" w:rsidRDefault="001D6EF4">
      <w:pPr>
        <w:pStyle w:val="Heading1"/>
        <w:numPr>
          <w:ilvl w:val="1"/>
          <w:numId w:val="1"/>
        </w:numPr>
        <w:tabs>
          <w:tab w:val="left" w:pos="1199"/>
        </w:tabs>
        <w:ind w:left="1199" w:hanging="359"/>
      </w:pPr>
      <w:r>
        <w:t>Duties</w:t>
      </w:r>
      <w:r>
        <w:rPr>
          <w:spacing w:val="-2"/>
        </w:rPr>
        <w:t xml:space="preserve"> </w:t>
      </w:r>
      <w:r>
        <w:t>of</w:t>
      </w:r>
      <w:r>
        <w:rPr>
          <w:spacing w:val="-2"/>
        </w:rPr>
        <w:t xml:space="preserve"> Chair</w:t>
      </w:r>
    </w:p>
    <w:p w14:paraId="64300CD4" w14:textId="77777777" w:rsidR="00BC17CD" w:rsidRDefault="001D6EF4">
      <w:pPr>
        <w:pStyle w:val="BodyText"/>
        <w:spacing w:before="240"/>
        <w:ind w:right="113"/>
      </w:pPr>
      <w:r>
        <w:t>The Chair (or in the Chair’s absence, his or her designee) shall preside at all meetings</w:t>
      </w:r>
      <w:r>
        <w:rPr>
          <w:spacing w:val="40"/>
        </w:rPr>
        <w:t xml:space="preserve"> </w:t>
      </w:r>
      <w:r>
        <w:t>of the Committee and perform any duties</w:t>
      </w:r>
      <w:r>
        <w:rPr>
          <w:spacing w:val="-1"/>
        </w:rPr>
        <w:t xml:space="preserve"> </w:t>
      </w:r>
      <w:r>
        <w:t>as may be assigned by the Board from time</w:t>
      </w:r>
      <w:r>
        <w:rPr>
          <w:spacing w:val="-1"/>
        </w:rPr>
        <w:t xml:space="preserve"> </w:t>
      </w:r>
      <w:r>
        <w:t xml:space="preserve">to time. The Chair shall also be responsible for ensuring that key actions taken and significant matters discussed by the Committee are reported to the Board on a regular </w:t>
      </w:r>
      <w:r>
        <w:rPr>
          <w:spacing w:val="-2"/>
        </w:rPr>
        <w:t>basis.</w:t>
      </w:r>
    </w:p>
    <w:p w14:paraId="22691FF2" w14:textId="77777777" w:rsidR="00BC17CD" w:rsidRDefault="001D6EF4">
      <w:pPr>
        <w:pStyle w:val="Heading1"/>
        <w:numPr>
          <w:ilvl w:val="1"/>
          <w:numId w:val="1"/>
        </w:numPr>
        <w:tabs>
          <w:tab w:val="left" w:pos="1199"/>
        </w:tabs>
        <w:spacing w:before="241"/>
        <w:ind w:left="1199" w:hanging="359"/>
      </w:pPr>
      <w:r>
        <w:rPr>
          <w:spacing w:val="-2"/>
        </w:rPr>
        <w:t>Meetings</w:t>
      </w:r>
    </w:p>
    <w:p w14:paraId="35FB5537" w14:textId="77777777" w:rsidR="00BC17CD" w:rsidRDefault="001D6EF4">
      <w:pPr>
        <w:pStyle w:val="BodyText"/>
        <w:spacing w:before="240"/>
        <w:ind w:right="113"/>
      </w:pPr>
      <w:r>
        <w:t>Meetings of the Committee shall be held at least quarterly at the time and place as the Board or Committee determines.</w:t>
      </w:r>
      <w:r>
        <w:rPr>
          <w:spacing w:val="40"/>
        </w:rPr>
        <w:t xml:space="preserve"> </w:t>
      </w:r>
      <w:r>
        <w:t>The Committee may invite any director, officer or employee of Equity Bancshares, Inc., or the Bank or any outside consultant or adviser</w:t>
      </w:r>
      <w:r>
        <w:rPr>
          <w:spacing w:val="40"/>
        </w:rPr>
        <w:t xml:space="preserve"> </w:t>
      </w:r>
      <w:r>
        <w:t>to attend any meeting of the Committee or meet with any members of the Committee at any time.</w:t>
      </w:r>
    </w:p>
    <w:p w14:paraId="0600F1B5" w14:textId="77777777" w:rsidR="00BC17CD" w:rsidRDefault="001D6EF4">
      <w:pPr>
        <w:pStyle w:val="Heading1"/>
        <w:numPr>
          <w:ilvl w:val="1"/>
          <w:numId w:val="1"/>
        </w:numPr>
        <w:tabs>
          <w:tab w:val="left" w:pos="1199"/>
        </w:tabs>
        <w:ind w:left="1199" w:hanging="359"/>
      </w:pPr>
      <w:r>
        <w:rPr>
          <w:spacing w:val="-2"/>
        </w:rPr>
        <w:t>Minutes</w:t>
      </w:r>
    </w:p>
    <w:p w14:paraId="6D454E3F" w14:textId="77777777" w:rsidR="00BC17CD" w:rsidRDefault="001D6EF4">
      <w:pPr>
        <w:pStyle w:val="BodyText"/>
        <w:spacing w:before="240"/>
        <w:ind w:right="111"/>
      </w:pPr>
      <w:r>
        <w:t>The secretary of the Committee (or any designee of the Chair) shall maintain minutes and other relevant records of the meetings and activities of the Committee.</w:t>
      </w:r>
      <w:r>
        <w:rPr>
          <w:spacing w:val="80"/>
        </w:rPr>
        <w:t xml:space="preserve"> </w:t>
      </w:r>
      <w:r>
        <w:t>The</w:t>
      </w:r>
      <w:r>
        <w:rPr>
          <w:spacing w:val="40"/>
        </w:rPr>
        <w:t xml:space="preserve"> </w:t>
      </w:r>
      <w:r>
        <w:t>minutes shall be available for review by the Board and any regulatory agency having jurisdiction over the affairs of Equity or the Bank.</w:t>
      </w:r>
      <w:r>
        <w:rPr>
          <w:spacing w:val="71"/>
        </w:rPr>
        <w:t xml:space="preserve"> </w:t>
      </w:r>
      <w:r>
        <w:t>At</w:t>
      </w:r>
      <w:r>
        <w:rPr>
          <w:spacing w:val="-1"/>
        </w:rPr>
        <w:t xml:space="preserve"> </w:t>
      </w:r>
      <w:r>
        <w:t>any time where the secretary is not</w:t>
      </w:r>
    </w:p>
    <w:p w14:paraId="16D7A826" w14:textId="77777777" w:rsidR="00BC17CD" w:rsidRDefault="00BC17CD">
      <w:pPr>
        <w:sectPr w:rsidR="00BC17CD">
          <w:headerReference w:type="default" r:id="rId8"/>
          <w:footerReference w:type="default" r:id="rId9"/>
          <w:pgSz w:w="12240" w:h="15840"/>
          <w:pgMar w:top="1480" w:right="1320" w:bottom="1280" w:left="1320" w:header="766" w:footer="1096" w:gutter="0"/>
          <w:pgNumType w:start="3"/>
          <w:cols w:space="720"/>
        </w:sectPr>
      </w:pPr>
    </w:p>
    <w:p w14:paraId="6A5A6496" w14:textId="77777777" w:rsidR="00BC17CD" w:rsidRDefault="00BC17CD">
      <w:pPr>
        <w:pStyle w:val="BodyText"/>
        <w:spacing w:before="17"/>
        <w:ind w:left="0"/>
        <w:jc w:val="left"/>
      </w:pPr>
    </w:p>
    <w:p w14:paraId="28D1C3D5" w14:textId="77777777" w:rsidR="00BC17CD" w:rsidRDefault="001D6EF4">
      <w:pPr>
        <w:pStyle w:val="BodyText"/>
        <w:ind w:right="114"/>
      </w:pPr>
      <w:r>
        <w:t>present, the Chair shall act as secretary, or designate an acting secretary, of the Committee for the purpose of recording the minutes the meeting or executive session.</w:t>
      </w:r>
    </w:p>
    <w:p w14:paraId="12528717" w14:textId="77777777" w:rsidR="00BC17CD" w:rsidRDefault="001D6EF4">
      <w:pPr>
        <w:pStyle w:val="Heading1"/>
        <w:numPr>
          <w:ilvl w:val="1"/>
          <w:numId w:val="1"/>
        </w:numPr>
        <w:tabs>
          <w:tab w:val="left" w:pos="1198"/>
        </w:tabs>
        <w:ind w:left="1198" w:hanging="358"/>
      </w:pPr>
      <w:r>
        <w:t>Annual</w:t>
      </w:r>
      <w:r>
        <w:rPr>
          <w:spacing w:val="-2"/>
        </w:rPr>
        <w:t xml:space="preserve"> </w:t>
      </w:r>
      <w:r>
        <w:t>Review</w:t>
      </w:r>
      <w:r>
        <w:rPr>
          <w:spacing w:val="-1"/>
        </w:rPr>
        <w:t xml:space="preserve"> </w:t>
      </w:r>
      <w:r>
        <w:t>of</w:t>
      </w:r>
      <w:r>
        <w:rPr>
          <w:spacing w:val="-3"/>
        </w:rPr>
        <w:t xml:space="preserve"> </w:t>
      </w:r>
      <w:r>
        <w:t>Charter;</w:t>
      </w:r>
      <w:r>
        <w:rPr>
          <w:spacing w:val="-2"/>
        </w:rPr>
        <w:t xml:space="preserve"> Amendments</w:t>
      </w:r>
    </w:p>
    <w:p w14:paraId="0315467D" w14:textId="77777777" w:rsidR="00BC17CD" w:rsidRDefault="001D6EF4">
      <w:pPr>
        <w:pStyle w:val="BodyText"/>
        <w:spacing w:before="240"/>
        <w:ind w:right="115"/>
      </w:pPr>
      <w:r>
        <w:t>The Committee, in conjunction with the Corporate Governance and Nominating Committee, shall review and assess the adequacy of this Charter annually and recommend any proposed changes to the Board for approval. This Charter may be amended only by the Board.</w:t>
      </w:r>
    </w:p>
    <w:p w14:paraId="623DE7AC" w14:textId="77777777" w:rsidR="00BC17CD" w:rsidRDefault="001D6EF4">
      <w:pPr>
        <w:pStyle w:val="Heading1"/>
        <w:numPr>
          <w:ilvl w:val="1"/>
          <w:numId w:val="1"/>
        </w:numPr>
        <w:tabs>
          <w:tab w:val="left" w:pos="1198"/>
        </w:tabs>
        <w:ind w:left="1198" w:hanging="358"/>
      </w:pPr>
      <w:r>
        <w:t>Delegation</w:t>
      </w:r>
      <w:r>
        <w:rPr>
          <w:spacing w:val="-3"/>
        </w:rPr>
        <w:t xml:space="preserve"> </w:t>
      </w:r>
      <w:r>
        <w:t>of</w:t>
      </w:r>
      <w:r>
        <w:rPr>
          <w:spacing w:val="-3"/>
        </w:rPr>
        <w:t xml:space="preserve"> </w:t>
      </w:r>
      <w:r>
        <w:rPr>
          <w:spacing w:val="-2"/>
        </w:rPr>
        <w:t>Authority</w:t>
      </w:r>
    </w:p>
    <w:p w14:paraId="7BEDAF83" w14:textId="77777777" w:rsidR="00BC17CD" w:rsidRDefault="001D6EF4">
      <w:pPr>
        <w:pStyle w:val="BodyText"/>
        <w:spacing w:before="240"/>
        <w:ind w:right="115"/>
      </w:pPr>
      <w:r>
        <w:t>This Committee may form and delegate its authority hereunder (as delegated by the Board) to subcommittees when appropriate.</w:t>
      </w:r>
    </w:p>
    <w:p w14:paraId="6873395C" w14:textId="77777777" w:rsidR="00BC17CD" w:rsidRDefault="001D6EF4">
      <w:pPr>
        <w:spacing w:before="240"/>
        <w:ind w:left="1" w:right="1"/>
        <w:jc w:val="center"/>
        <w:rPr>
          <w:sz w:val="24"/>
        </w:rPr>
      </w:pPr>
      <w:r>
        <w:rPr>
          <w:spacing w:val="-5"/>
          <w:sz w:val="24"/>
        </w:rPr>
        <w:t>***</w:t>
      </w:r>
    </w:p>
    <w:sectPr w:rsidR="00BC17CD">
      <w:pgSz w:w="12240" w:h="15840"/>
      <w:pgMar w:top="1480" w:right="1320" w:bottom="1280" w:left="1320" w:header="766" w:footer="10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425D" w14:textId="77777777" w:rsidR="001D6EF4" w:rsidRDefault="001D6EF4">
      <w:r>
        <w:separator/>
      </w:r>
    </w:p>
  </w:endnote>
  <w:endnote w:type="continuationSeparator" w:id="0">
    <w:p w14:paraId="1EAB3E46" w14:textId="77777777" w:rsidR="001D6EF4" w:rsidRDefault="001D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3DD8" w14:textId="77777777" w:rsidR="00BC17CD" w:rsidRDefault="001D6EF4">
    <w:pPr>
      <w:pStyle w:val="BodyText"/>
      <w:spacing w:line="14" w:lineRule="auto"/>
      <w:ind w:left="0"/>
      <w:jc w:val="left"/>
      <w:rPr>
        <w:sz w:val="20"/>
      </w:rPr>
    </w:pPr>
    <w:r>
      <w:rPr>
        <w:noProof/>
      </w:rPr>
      <mc:AlternateContent>
        <mc:Choice Requires="wps">
          <w:drawing>
            <wp:anchor distT="0" distB="0" distL="0" distR="0" simplePos="0" relativeHeight="487524864" behindDoc="1" locked="0" layoutInCell="1" allowOverlap="1" wp14:anchorId="709013BD" wp14:editId="62522661">
              <wp:simplePos x="0" y="0"/>
              <wp:positionH relativeFrom="page">
                <wp:posOffset>3808476</wp:posOffset>
              </wp:positionH>
              <wp:positionV relativeFrom="page">
                <wp:posOffset>9222740</wp:posOffset>
              </wp:positionV>
              <wp:extent cx="166370"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8025994" w14:textId="77777777" w:rsidR="00BC17CD" w:rsidRDefault="001D6EF4">
                          <w:pPr>
                            <w:pStyle w:val="BodyText"/>
                            <w:spacing w:line="264"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709013BD" id="_x0000_t202" coordsize="21600,21600" o:spt="202" path="m,l,21600r21600,l21600,xe">
              <v:stroke joinstyle="miter"/>
              <v:path gradientshapeok="t" o:connecttype="rect"/>
            </v:shapetype>
            <v:shape id="Textbox 7" o:spid="_x0000_s1028" type="#_x0000_t202" style="position:absolute;margin-left:299.9pt;margin-top:726.2pt;width:13.1pt;height:14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" filled="f" stroked="f">
              <v:textbox inset="0,0,0,0">
                <w:txbxContent>
                  <w:p w14:paraId="08025994" w14:textId="77777777" w:rsidR="00BC17CD" w:rsidRDefault="001D6EF4">
                    <w:pPr>
                      <w:pStyle w:val="BodyText"/>
                      <w:spacing w:line="264"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E97D" w14:textId="77777777" w:rsidR="001D6EF4" w:rsidRDefault="001D6EF4">
      <w:r>
        <w:separator/>
      </w:r>
    </w:p>
  </w:footnote>
  <w:footnote w:type="continuationSeparator" w:id="0">
    <w:p w14:paraId="10C001D7" w14:textId="77777777" w:rsidR="001D6EF4" w:rsidRDefault="001D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04D3" w14:textId="77777777" w:rsidR="00BC17CD" w:rsidRDefault="001D6EF4">
    <w:pPr>
      <w:pStyle w:val="BodyText"/>
      <w:spacing w:line="14" w:lineRule="auto"/>
      <w:ind w:left="0"/>
      <w:jc w:val="left"/>
      <w:rPr>
        <w:sz w:val="20"/>
      </w:rPr>
    </w:pPr>
    <w:r>
      <w:rPr>
        <w:noProof/>
      </w:rPr>
      <mc:AlternateContent>
        <mc:Choice Requires="wps">
          <w:drawing>
            <wp:anchor distT="0" distB="0" distL="0" distR="0" simplePos="0" relativeHeight="487523328" behindDoc="1" locked="0" layoutInCell="1" allowOverlap="1" wp14:anchorId="146E92AE" wp14:editId="70FDD794">
              <wp:simplePos x="0" y="0"/>
              <wp:positionH relativeFrom="page">
                <wp:posOffset>901597</wp:posOffset>
              </wp:positionH>
              <wp:positionV relativeFrom="page">
                <wp:posOffset>405404</wp:posOffset>
              </wp:positionV>
              <wp:extent cx="1612900" cy="3727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0" cy="372745"/>
                      </a:xfrm>
                      <a:prstGeom prst="rect">
                        <a:avLst/>
                      </a:prstGeom>
                    </wps:spPr>
                    <wps:txbx>
                      <w:txbxContent>
                        <w:p w14:paraId="049746A9" w14:textId="77777777" w:rsidR="00BC17CD" w:rsidRDefault="001D6EF4">
                          <w:pPr>
                            <w:spacing w:before="15"/>
                            <w:ind w:left="20" w:right="103"/>
                            <w:rPr>
                              <w:sz w:val="16"/>
                            </w:rPr>
                          </w:pPr>
                          <w:r>
                            <w:rPr>
                              <w:sz w:val="16"/>
                            </w:rPr>
                            <w:t>EQUITY BANCSHARES INC RISK</w:t>
                          </w:r>
                          <w:r>
                            <w:rPr>
                              <w:spacing w:val="-12"/>
                              <w:sz w:val="16"/>
                            </w:rPr>
                            <w:t xml:space="preserve"> </w:t>
                          </w:r>
                          <w:r>
                            <w:rPr>
                              <w:sz w:val="16"/>
                            </w:rPr>
                            <w:t>COMMITTEE</w:t>
                          </w:r>
                          <w:r>
                            <w:rPr>
                              <w:spacing w:val="-11"/>
                              <w:sz w:val="16"/>
                            </w:rPr>
                            <w:t xml:space="preserve"> </w:t>
                          </w:r>
                          <w:r>
                            <w:rPr>
                              <w:sz w:val="16"/>
                            </w:rPr>
                            <w:t>CHARTER</w:t>
                          </w:r>
                        </w:p>
                        <w:p w14:paraId="3A7E78B1" w14:textId="7675EA98" w:rsidR="00BC17CD" w:rsidRDefault="001D6EF4">
                          <w:pPr>
                            <w:spacing w:line="183" w:lineRule="exact"/>
                            <w:ind w:left="20"/>
                            <w:rPr>
                              <w:sz w:val="16"/>
                            </w:rPr>
                          </w:pPr>
                          <w:r>
                            <w:rPr>
                              <w:sz w:val="16"/>
                            </w:rPr>
                            <w:t>EFFECTIVE</w:t>
                          </w:r>
                          <w:r>
                            <w:rPr>
                              <w:spacing w:val="-9"/>
                              <w:sz w:val="16"/>
                            </w:rPr>
                            <w:t xml:space="preserve"> </w:t>
                          </w:r>
                          <w:r>
                            <w:rPr>
                              <w:sz w:val="16"/>
                            </w:rPr>
                            <w:t>DECEMBER</w:t>
                          </w:r>
                          <w:r>
                            <w:rPr>
                              <w:spacing w:val="-6"/>
                              <w:sz w:val="16"/>
                            </w:rPr>
                            <w:t xml:space="preserve"> </w:t>
                          </w:r>
                          <w:r>
                            <w:rPr>
                              <w:sz w:val="16"/>
                            </w:rPr>
                            <w:t>1, 202</w:t>
                          </w:r>
                          <w:r w:rsidR="00565148">
                            <w:rPr>
                              <w:sz w:val="16"/>
                            </w:rPr>
                            <w:t>5</w:t>
                          </w:r>
                        </w:p>
                      </w:txbxContent>
                    </wps:txbx>
                    <wps:bodyPr wrap="square" lIns="0" tIns="0" rIns="0" bIns="0" rtlCol="0">
                      <a:noAutofit/>
                    </wps:bodyPr>
                  </wps:wsp>
                </a:graphicData>
              </a:graphic>
            </wp:anchor>
          </w:drawing>
        </mc:Choice>
        <mc:Fallback>
          <w:pict>
            <v:shapetype w14:anchorId="146E92AE" id="_x0000_t202" coordsize="21600,21600" o:spt="202" path="m,l,21600r21600,l21600,xe">
              <v:stroke joinstyle="miter"/>
              <v:path gradientshapeok="t" o:connecttype="rect"/>
            </v:shapetype>
            <v:shape id="Textbox 2" o:spid="_x0000_s1026" type="#_x0000_t202" style="position:absolute;margin-left:71pt;margin-top:31.9pt;width:127pt;height:29.35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" filled="f" stroked="f">
              <v:textbox inset="0,0,0,0">
                <w:txbxContent>
                  <w:p w14:paraId="049746A9" w14:textId="77777777" w:rsidR="00BC17CD" w:rsidRDefault="001D6EF4">
                    <w:pPr>
                      <w:spacing w:before="15"/>
                      <w:ind w:left="20" w:right="103"/>
                      <w:rPr>
                        <w:sz w:val="16"/>
                      </w:rPr>
                    </w:pPr>
                    <w:r>
                      <w:rPr>
                        <w:sz w:val="16"/>
                      </w:rPr>
                      <w:t>EQUITY BANCSHARES INC RISK</w:t>
                    </w:r>
                    <w:r>
                      <w:rPr>
                        <w:spacing w:val="-12"/>
                        <w:sz w:val="16"/>
                      </w:rPr>
                      <w:t xml:space="preserve"> </w:t>
                    </w:r>
                    <w:r>
                      <w:rPr>
                        <w:sz w:val="16"/>
                      </w:rPr>
                      <w:t>COMMITTEE</w:t>
                    </w:r>
                    <w:r>
                      <w:rPr>
                        <w:spacing w:val="-11"/>
                        <w:sz w:val="16"/>
                      </w:rPr>
                      <w:t xml:space="preserve"> </w:t>
                    </w:r>
                    <w:r>
                      <w:rPr>
                        <w:sz w:val="16"/>
                      </w:rPr>
                      <w:t>CHARTER</w:t>
                    </w:r>
                  </w:p>
                  <w:p w14:paraId="3A7E78B1" w14:textId="7675EA98" w:rsidR="00BC17CD" w:rsidRDefault="001D6EF4">
                    <w:pPr>
                      <w:spacing w:line="183" w:lineRule="exact"/>
                      <w:ind w:left="20"/>
                      <w:rPr>
                        <w:sz w:val="16"/>
                      </w:rPr>
                    </w:pPr>
                    <w:r>
                      <w:rPr>
                        <w:sz w:val="16"/>
                      </w:rPr>
                      <w:t>EFFECTIVE</w:t>
                    </w:r>
                    <w:r>
                      <w:rPr>
                        <w:spacing w:val="-9"/>
                        <w:sz w:val="16"/>
                      </w:rPr>
                      <w:t xml:space="preserve"> </w:t>
                    </w:r>
                    <w:r>
                      <w:rPr>
                        <w:sz w:val="16"/>
                      </w:rPr>
                      <w:t>DECEMBER</w:t>
                    </w:r>
                    <w:r>
                      <w:rPr>
                        <w:spacing w:val="-6"/>
                        <w:sz w:val="16"/>
                      </w:rPr>
                      <w:t xml:space="preserve"> </w:t>
                    </w:r>
                    <w:r>
                      <w:rPr>
                        <w:sz w:val="16"/>
                      </w:rPr>
                      <w:t>1, 202</w:t>
                    </w:r>
                    <w:r w:rsidR="00565148">
                      <w:rPr>
                        <w:sz w:val="16"/>
                      </w:rPr>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B5DB" w14:textId="77777777" w:rsidR="00BC17CD" w:rsidRDefault="001D6EF4">
    <w:pPr>
      <w:pStyle w:val="BodyText"/>
      <w:spacing w:line="14" w:lineRule="auto"/>
      <w:ind w:left="0"/>
      <w:jc w:val="left"/>
      <w:rPr>
        <w:sz w:val="20"/>
      </w:rPr>
    </w:pPr>
    <w:r>
      <w:rPr>
        <w:noProof/>
      </w:rPr>
      <mc:AlternateContent>
        <mc:Choice Requires="wps">
          <w:drawing>
            <wp:anchor distT="0" distB="0" distL="0" distR="0" simplePos="0" relativeHeight="487523840" behindDoc="1" locked="0" layoutInCell="1" allowOverlap="1" wp14:anchorId="554435B6" wp14:editId="34CD6527">
              <wp:simplePos x="0" y="0"/>
              <wp:positionH relativeFrom="page">
                <wp:posOffset>832091</wp:posOffset>
              </wp:positionH>
              <wp:positionV relativeFrom="page">
                <wp:posOffset>943342</wp:posOffset>
              </wp:positionV>
              <wp:extent cx="609028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285" cy="6350"/>
                      </a:xfrm>
                      <a:custGeom>
                        <a:avLst/>
                        <a:gdLst/>
                        <a:ahLst/>
                        <a:cxnLst/>
                        <a:rect l="l" t="t" r="r" b="b"/>
                        <a:pathLst>
                          <a:path w="6090285" h="6350">
                            <a:moveTo>
                              <a:pt x="6089916" y="0"/>
                            </a:moveTo>
                            <a:lnTo>
                              <a:pt x="6089916" y="0"/>
                            </a:lnTo>
                            <a:lnTo>
                              <a:pt x="0" y="0"/>
                            </a:lnTo>
                            <a:lnTo>
                              <a:pt x="0" y="6108"/>
                            </a:lnTo>
                            <a:lnTo>
                              <a:pt x="6089916" y="6108"/>
                            </a:lnTo>
                            <a:lnTo>
                              <a:pt x="60899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A1A493" id="Graphic 5" o:spid="_x0000_s1026" style="position:absolute;margin-left:65.5pt;margin-top:74.3pt;width:479.55pt;height:.5pt;z-index:-15792640;visibility:visible;mso-wrap-style:square;mso-wrap-distance-left:0;mso-wrap-distance-top:0;mso-wrap-distance-right:0;mso-wrap-distance-bottom:0;mso-position-horizontal:absolute;mso-position-horizontal-relative:page;mso-position-vertical:absolute;mso-position-vertical-relative:page;v-text-anchor:top" coordsize="6090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" path="m6089916,r,l,,,6108r6089916,l6089916,xe" fillcolor="black" stroked="f">
              <v:path arrowok="t"/>
              <w10:wrap anchorx="page" anchory="page"/>
            </v:shape>
          </w:pict>
        </mc:Fallback>
      </mc:AlternateContent>
    </w:r>
    <w:r>
      <w:rPr>
        <w:noProof/>
      </w:rPr>
      <mc:AlternateContent>
        <mc:Choice Requires="wps">
          <w:drawing>
            <wp:anchor distT="0" distB="0" distL="0" distR="0" simplePos="0" relativeHeight="487524352" behindDoc="1" locked="0" layoutInCell="1" allowOverlap="1" wp14:anchorId="46AE616F" wp14:editId="2ADCB81E">
              <wp:simplePos x="0" y="0"/>
              <wp:positionH relativeFrom="page">
                <wp:posOffset>901700</wp:posOffset>
              </wp:positionH>
              <wp:positionV relativeFrom="page">
                <wp:posOffset>473984</wp:posOffset>
              </wp:positionV>
              <wp:extent cx="1612900" cy="3727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0" cy="372745"/>
                      </a:xfrm>
                      <a:prstGeom prst="rect">
                        <a:avLst/>
                      </a:prstGeom>
                    </wps:spPr>
                    <wps:txbx>
                      <w:txbxContent>
                        <w:p w14:paraId="24CF0B64" w14:textId="16E8CF4E" w:rsidR="00BC17CD" w:rsidRDefault="001D6EF4">
                          <w:pPr>
                            <w:spacing w:before="15"/>
                            <w:ind w:left="20" w:right="15"/>
                            <w:rPr>
                              <w:sz w:val="16"/>
                            </w:rPr>
                          </w:pPr>
                          <w:r>
                            <w:rPr>
                              <w:sz w:val="16"/>
                            </w:rPr>
                            <w:t>EQUITY BANCSHARES, INC. RISK COMMITTEE CHARTER EFFECTIVE</w:t>
                          </w:r>
                          <w:r>
                            <w:rPr>
                              <w:spacing w:val="-12"/>
                              <w:sz w:val="16"/>
                            </w:rPr>
                            <w:t xml:space="preserve"> </w:t>
                          </w:r>
                          <w:r>
                            <w:rPr>
                              <w:sz w:val="16"/>
                            </w:rPr>
                            <w:t>DECEMBER</w:t>
                          </w:r>
                          <w:r>
                            <w:rPr>
                              <w:spacing w:val="-11"/>
                              <w:sz w:val="16"/>
                            </w:rPr>
                            <w:t xml:space="preserve"> </w:t>
                          </w:r>
                          <w:r>
                            <w:rPr>
                              <w:sz w:val="16"/>
                            </w:rPr>
                            <w:t>1,</w:t>
                          </w:r>
                          <w:r>
                            <w:rPr>
                              <w:spacing w:val="-11"/>
                              <w:sz w:val="16"/>
                            </w:rPr>
                            <w:t xml:space="preserve"> </w:t>
                          </w:r>
                          <w:r>
                            <w:rPr>
                              <w:sz w:val="16"/>
                            </w:rPr>
                            <w:t>202</w:t>
                          </w:r>
                          <w:r w:rsidR="00565148">
                            <w:rPr>
                              <w:sz w:val="16"/>
                            </w:rPr>
                            <w:t>5</w:t>
                          </w:r>
                        </w:p>
                      </w:txbxContent>
                    </wps:txbx>
                    <wps:bodyPr wrap="square" lIns="0" tIns="0" rIns="0" bIns="0" rtlCol="0">
                      <a:noAutofit/>
                    </wps:bodyPr>
                  </wps:wsp>
                </a:graphicData>
              </a:graphic>
            </wp:anchor>
          </w:drawing>
        </mc:Choice>
        <mc:Fallback>
          <w:pict>
            <v:shapetype w14:anchorId="46AE616F" id="_x0000_t202" coordsize="21600,21600" o:spt="202" path="m,l,21600r21600,l21600,xe">
              <v:stroke joinstyle="miter"/>
              <v:path gradientshapeok="t" o:connecttype="rect"/>
            </v:shapetype>
            <v:shape id="Textbox 6" o:spid="_x0000_s1027" type="#_x0000_t202" style="position:absolute;margin-left:71pt;margin-top:37.3pt;width:127pt;height:29.3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" filled="f" stroked="f">
              <v:textbox inset="0,0,0,0">
                <w:txbxContent>
                  <w:p w14:paraId="24CF0B64" w14:textId="16E8CF4E" w:rsidR="00BC17CD" w:rsidRDefault="001D6EF4">
                    <w:pPr>
                      <w:spacing w:before="15"/>
                      <w:ind w:left="20" w:right="15"/>
                      <w:rPr>
                        <w:sz w:val="16"/>
                      </w:rPr>
                    </w:pPr>
                    <w:r>
                      <w:rPr>
                        <w:sz w:val="16"/>
                      </w:rPr>
                      <w:t>EQUITY BANCSHARES, INC. RISK COMMITTEE CHARTER EFFECTIVE</w:t>
                    </w:r>
                    <w:r>
                      <w:rPr>
                        <w:spacing w:val="-12"/>
                        <w:sz w:val="16"/>
                      </w:rPr>
                      <w:t xml:space="preserve"> </w:t>
                    </w:r>
                    <w:r>
                      <w:rPr>
                        <w:sz w:val="16"/>
                      </w:rPr>
                      <w:t>DECEMBER</w:t>
                    </w:r>
                    <w:r>
                      <w:rPr>
                        <w:spacing w:val="-11"/>
                        <w:sz w:val="16"/>
                      </w:rPr>
                      <w:t xml:space="preserve"> </w:t>
                    </w:r>
                    <w:r>
                      <w:rPr>
                        <w:sz w:val="16"/>
                      </w:rPr>
                      <w:t>1,</w:t>
                    </w:r>
                    <w:r>
                      <w:rPr>
                        <w:spacing w:val="-11"/>
                        <w:sz w:val="16"/>
                      </w:rPr>
                      <w:t xml:space="preserve"> </w:t>
                    </w:r>
                    <w:r>
                      <w:rPr>
                        <w:sz w:val="16"/>
                      </w:rPr>
                      <w:t>202</w:t>
                    </w:r>
                    <w:r w:rsidR="00565148">
                      <w:rPr>
                        <w:sz w:val="16"/>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52370"/>
    <w:multiLevelType w:val="hybridMultilevel"/>
    <w:tmpl w:val="759ED402"/>
    <w:lvl w:ilvl="0" w:tplc="E190FF82">
      <w:start w:val="1"/>
      <w:numFmt w:val="upperRoman"/>
      <w:lvlText w:val="%1."/>
      <w:lvlJc w:val="left"/>
      <w:pPr>
        <w:ind w:left="840" w:hanging="720"/>
        <w:jc w:val="left"/>
      </w:pPr>
      <w:rPr>
        <w:rFonts w:ascii="Arial" w:eastAsia="Arial" w:hAnsi="Arial" w:cs="Arial" w:hint="default"/>
        <w:b/>
        <w:bCs/>
        <w:i w:val="0"/>
        <w:iCs w:val="0"/>
        <w:spacing w:val="0"/>
        <w:w w:val="100"/>
        <w:sz w:val="24"/>
        <w:szCs w:val="24"/>
        <w:lang w:val="en-US" w:eastAsia="en-US" w:bidi="ar-SA"/>
      </w:rPr>
    </w:lvl>
    <w:lvl w:ilvl="1" w:tplc="C3B0B86C">
      <w:start w:val="1"/>
      <w:numFmt w:val="upperLetter"/>
      <w:lvlText w:val="%2."/>
      <w:lvlJc w:val="left"/>
      <w:pPr>
        <w:ind w:left="1200" w:hanging="360"/>
        <w:jc w:val="left"/>
      </w:pPr>
      <w:rPr>
        <w:rFonts w:ascii="Arial" w:eastAsia="Arial" w:hAnsi="Arial" w:cs="Arial" w:hint="default"/>
        <w:b/>
        <w:bCs/>
        <w:i w:val="0"/>
        <w:iCs w:val="0"/>
        <w:spacing w:val="-1"/>
        <w:w w:val="100"/>
        <w:sz w:val="24"/>
        <w:szCs w:val="24"/>
        <w:lang w:val="en-US" w:eastAsia="en-US" w:bidi="ar-SA"/>
      </w:rPr>
    </w:lvl>
    <w:lvl w:ilvl="2" w:tplc="B68CAF6A">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3" w:tplc="E53252E8">
      <w:numFmt w:val="bullet"/>
      <w:lvlText w:val="•"/>
      <w:lvlJc w:val="left"/>
      <w:pPr>
        <w:ind w:left="3066" w:hanging="360"/>
      </w:pPr>
      <w:rPr>
        <w:rFonts w:hint="default"/>
        <w:lang w:val="en-US" w:eastAsia="en-US" w:bidi="ar-SA"/>
      </w:rPr>
    </w:lvl>
    <w:lvl w:ilvl="4" w:tplc="FAD6A19E">
      <w:numFmt w:val="bullet"/>
      <w:lvlText w:val="•"/>
      <w:lvlJc w:val="left"/>
      <w:pPr>
        <w:ind w:left="4000" w:hanging="360"/>
      </w:pPr>
      <w:rPr>
        <w:rFonts w:hint="default"/>
        <w:lang w:val="en-US" w:eastAsia="en-US" w:bidi="ar-SA"/>
      </w:rPr>
    </w:lvl>
    <w:lvl w:ilvl="5" w:tplc="A3545CCC">
      <w:numFmt w:val="bullet"/>
      <w:lvlText w:val="•"/>
      <w:lvlJc w:val="left"/>
      <w:pPr>
        <w:ind w:left="4933" w:hanging="360"/>
      </w:pPr>
      <w:rPr>
        <w:rFonts w:hint="default"/>
        <w:lang w:val="en-US" w:eastAsia="en-US" w:bidi="ar-SA"/>
      </w:rPr>
    </w:lvl>
    <w:lvl w:ilvl="6" w:tplc="562C6B00">
      <w:numFmt w:val="bullet"/>
      <w:lvlText w:val="•"/>
      <w:lvlJc w:val="left"/>
      <w:pPr>
        <w:ind w:left="5866" w:hanging="360"/>
      </w:pPr>
      <w:rPr>
        <w:rFonts w:hint="default"/>
        <w:lang w:val="en-US" w:eastAsia="en-US" w:bidi="ar-SA"/>
      </w:rPr>
    </w:lvl>
    <w:lvl w:ilvl="7" w:tplc="7AD479CA">
      <w:numFmt w:val="bullet"/>
      <w:lvlText w:val="•"/>
      <w:lvlJc w:val="left"/>
      <w:pPr>
        <w:ind w:left="6800" w:hanging="360"/>
      </w:pPr>
      <w:rPr>
        <w:rFonts w:hint="default"/>
        <w:lang w:val="en-US" w:eastAsia="en-US" w:bidi="ar-SA"/>
      </w:rPr>
    </w:lvl>
    <w:lvl w:ilvl="8" w:tplc="B748C09A">
      <w:numFmt w:val="bullet"/>
      <w:lvlText w:val="•"/>
      <w:lvlJc w:val="left"/>
      <w:pPr>
        <w:ind w:left="7733" w:hanging="360"/>
      </w:pPr>
      <w:rPr>
        <w:rFonts w:hint="default"/>
        <w:lang w:val="en-US" w:eastAsia="en-US" w:bidi="ar-SA"/>
      </w:rPr>
    </w:lvl>
  </w:abstractNum>
  <w:num w:numId="1" w16cid:durableId="69438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CD"/>
    <w:rsid w:val="001D6EF4"/>
    <w:rsid w:val="0035261C"/>
    <w:rsid w:val="003B769A"/>
    <w:rsid w:val="003F03E8"/>
    <w:rsid w:val="00565148"/>
    <w:rsid w:val="006A2852"/>
    <w:rsid w:val="006F3034"/>
    <w:rsid w:val="00A0313A"/>
    <w:rsid w:val="00BC17CD"/>
    <w:rsid w:val="00CD170A"/>
    <w:rsid w:val="00DA10B3"/>
    <w:rsid w:val="00FB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7345C"/>
  <w15:docId w15:val="{1A5D9FCC-D0D7-49E3-8DF5-92E4B74B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119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rPr>
      <w:sz w:val="24"/>
      <w:szCs w:val="24"/>
    </w:rPr>
  </w:style>
  <w:style w:type="paragraph" w:styleId="Title">
    <w:name w:val="Title"/>
    <w:basedOn w:val="Normal"/>
    <w:uiPriority w:val="10"/>
    <w:qFormat/>
    <w:pPr>
      <w:spacing w:before="66"/>
      <w:ind w:left="1" w:right="1"/>
      <w:jc w:val="center"/>
    </w:pPr>
    <w:rPr>
      <w:b/>
      <w:bCs/>
      <w:sz w:val="28"/>
      <w:szCs w:val="28"/>
    </w:rPr>
  </w:style>
  <w:style w:type="paragraph" w:styleId="ListParagraph">
    <w:name w:val="List Paragraph"/>
    <w:basedOn w:val="Normal"/>
    <w:uiPriority w:val="1"/>
    <w:qFormat/>
    <w:pPr>
      <w:spacing w:before="240"/>
      <w:ind w:left="1199" w:hanging="359"/>
    </w:pPr>
  </w:style>
  <w:style w:type="paragraph" w:customStyle="1" w:styleId="TableParagraph">
    <w:name w:val="Table Paragraph"/>
    <w:basedOn w:val="Normal"/>
    <w:uiPriority w:val="1"/>
    <w:qFormat/>
  </w:style>
  <w:style w:type="paragraph" w:styleId="Revision">
    <w:name w:val="Revision"/>
    <w:hidden/>
    <w:uiPriority w:val="99"/>
    <w:semiHidden/>
    <w:rsid w:val="001D6EF4"/>
    <w:pPr>
      <w:widowControl/>
      <w:autoSpaceDE/>
      <w:autoSpaceDN/>
    </w:pPr>
    <w:rPr>
      <w:rFonts w:ascii="Arial" w:eastAsia="Arial" w:hAnsi="Arial" w:cs="Arial"/>
    </w:rPr>
  </w:style>
  <w:style w:type="paragraph" w:styleId="Header">
    <w:name w:val="header"/>
    <w:basedOn w:val="Normal"/>
    <w:link w:val="HeaderChar"/>
    <w:uiPriority w:val="99"/>
    <w:unhideWhenUsed/>
    <w:rsid w:val="001D6EF4"/>
    <w:pPr>
      <w:tabs>
        <w:tab w:val="center" w:pos="4680"/>
        <w:tab w:val="right" w:pos="9360"/>
      </w:tabs>
    </w:pPr>
  </w:style>
  <w:style w:type="character" w:customStyle="1" w:styleId="HeaderChar">
    <w:name w:val="Header Char"/>
    <w:basedOn w:val="DefaultParagraphFont"/>
    <w:link w:val="Header"/>
    <w:uiPriority w:val="99"/>
    <w:rsid w:val="001D6EF4"/>
    <w:rPr>
      <w:rFonts w:ascii="Arial" w:eastAsia="Arial" w:hAnsi="Arial" w:cs="Arial"/>
    </w:rPr>
  </w:style>
  <w:style w:type="paragraph" w:styleId="Footer">
    <w:name w:val="footer"/>
    <w:basedOn w:val="Normal"/>
    <w:link w:val="FooterChar"/>
    <w:uiPriority w:val="99"/>
    <w:unhideWhenUsed/>
    <w:rsid w:val="001D6EF4"/>
    <w:pPr>
      <w:tabs>
        <w:tab w:val="center" w:pos="4680"/>
        <w:tab w:val="right" w:pos="9360"/>
      </w:tabs>
    </w:pPr>
  </w:style>
  <w:style w:type="character" w:customStyle="1" w:styleId="FooterChar">
    <w:name w:val="Footer Char"/>
    <w:basedOn w:val="DefaultParagraphFont"/>
    <w:link w:val="Footer"/>
    <w:uiPriority w:val="99"/>
    <w:rsid w:val="001D6EF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1102</Words>
  <Characters>6286</Characters>
  <Application>Microsoft Office Word</Application>
  <DocSecurity>0</DocSecurity>
  <Lines>52</Lines>
  <Paragraphs>14</Paragraphs>
  <ScaleCrop>false</ScaleCrop>
  <Company>Equity Bank</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2019-04-26 EQBK Risk Committee Charter - CLEAN (00010227).DOCX</dc:title>
  <dc:creator>Blythe A. Black</dc:creator>
  <cp:lastModifiedBy>Erick Emes</cp:lastModifiedBy>
  <cp:revision>3</cp:revision>
  <dcterms:created xsi:type="dcterms:W3CDTF">2025-12-05T18:01:00Z</dcterms:created>
  <dcterms:modified xsi:type="dcterms:W3CDTF">2025-12-17T16:34:00Z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Acrobat PDFMaker 22 for Word</vt:lpwstr>
  </property>
  <property fmtid="{D5CDD505-2E9C-101B-9397-08002B2CF9AE}" pid="4" name="LastSaved">
    <vt:filetime>2024-11-19T00:00:00Z</vt:filetime>
  </property>
  <property fmtid="{D5CDD505-2E9C-101B-9397-08002B2CF9AE}" pid="5" name="Producer">
    <vt:lpwstr>Adobe PDF Library 22.2.244</vt:lpwstr>
  </property>
  <property fmtid="{D5CDD505-2E9C-101B-9397-08002B2CF9AE}" pid="6" name="SourceModified">
    <vt:lpwstr>D:20221208205618</vt:lpwstr>
  </property>
  <property fmtid="{D5CDD505-2E9C-101B-9397-08002B2CF9AE}" pid="7" name="UserDate">
    <vt:lpwstr>12/13/2022 9:15:03 AM</vt:lpwstr>
  </property>
</Properties>
</file>