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7EB4" w14:textId="77777777" w:rsidR="004A1036" w:rsidRDefault="00C73AF4">
      <w:pPr>
        <w:pStyle w:val="Title"/>
      </w:pPr>
      <w:bookmarkStart w:id="0" w:name="EQUITY_BANCSHARES,_INC."/>
      <w:bookmarkEnd w:id="0"/>
      <w:r>
        <w:t>EQUITY</w:t>
      </w:r>
      <w:r>
        <w:rPr>
          <w:spacing w:val="-13"/>
        </w:rPr>
        <w:t xml:space="preserve"> </w:t>
      </w:r>
      <w:r>
        <w:t>BANCSHARES,</w:t>
      </w:r>
      <w:r>
        <w:rPr>
          <w:spacing w:val="-10"/>
        </w:rPr>
        <w:t xml:space="preserve"> </w:t>
      </w:r>
      <w:r>
        <w:rPr>
          <w:spacing w:val="-4"/>
        </w:rPr>
        <w:t>INC.</w:t>
      </w:r>
    </w:p>
    <w:p w14:paraId="4C78AF8F" w14:textId="77777777" w:rsidR="004A1036" w:rsidRDefault="00C73AF4">
      <w:pPr>
        <w:pStyle w:val="Heading1"/>
        <w:spacing w:before="121"/>
        <w:ind w:left="2444" w:right="2432" w:firstLine="0"/>
        <w:jc w:val="center"/>
      </w:pPr>
      <w:r>
        <w:t>Policy</w:t>
      </w:r>
      <w:r>
        <w:rPr>
          <w:spacing w:val="-10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Concern </w:t>
      </w:r>
      <w:bookmarkStart w:id="1" w:name="About_Illegal_or_Dishonest_Activities"/>
      <w:bookmarkEnd w:id="1"/>
      <w:r>
        <w:t>About Illegal or Dishonest Activities</w:t>
      </w:r>
    </w:p>
    <w:p w14:paraId="4CF3D7A4" w14:textId="5E805D8C" w:rsidR="004A1036" w:rsidRDefault="00C73AF4">
      <w:pPr>
        <w:pStyle w:val="BodyText"/>
        <w:spacing w:before="101"/>
        <w:ind w:left="3213"/>
      </w:pPr>
      <w:r>
        <w:t>Effective</w:t>
      </w:r>
      <w:r>
        <w:rPr>
          <w:spacing w:val="-8"/>
        </w:rPr>
        <w:t xml:space="preserve"> </w:t>
      </w:r>
      <w:r>
        <w:t>December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361528">
        <w:rPr>
          <w:spacing w:val="-4"/>
        </w:rPr>
        <w:t>5</w:t>
      </w:r>
    </w:p>
    <w:p w14:paraId="41A48E7D" w14:textId="77777777" w:rsidR="004A1036" w:rsidRDefault="004A1036">
      <w:pPr>
        <w:pStyle w:val="BodyText"/>
        <w:ind w:left="0"/>
      </w:pPr>
    </w:p>
    <w:p w14:paraId="60FB1811" w14:textId="77777777" w:rsidR="004A1036" w:rsidRDefault="004A1036">
      <w:pPr>
        <w:pStyle w:val="BodyText"/>
        <w:spacing w:before="64"/>
        <w:ind w:left="0"/>
      </w:pPr>
    </w:p>
    <w:p w14:paraId="1BD72908" w14:textId="77777777" w:rsidR="004A1036" w:rsidRDefault="00C73AF4">
      <w:pPr>
        <w:pStyle w:val="Heading1"/>
        <w:tabs>
          <w:tab w:val="left" w:pos="839"/>
        </w:tabs>
        <w:ind w:left="120" w:firstLine="0"/>
      </w:pPr>
      <w:r>
        <w:rPr>
          <w:spacing w:val="-5"/>
        </w:rPr>
        <w:t>I.</w:t>
      </w:r>
      <w:r>
        <w:tab/>
      </w:r>
      <w:r>
        <w:rPr>
          <w:spacing w:val="-2"/>
        </w:rPr>
        <w:t>INTRODUCTION</w:t>
      </w:r>
    </w:p>
    <w:p w14:paraId="284DDE1E" w14:textId="77777777" w:rsidR="004A1036" w:rsidRDefault="00C73AF4">
      <w:pPr>
        <w:pStyle w:val="BodyText"/>
        <w:spacing w:before="242" w:line="276" w:lineRule="auto"/>
        <w:ind w:right="100"/>
        <w:jc w:val="both"/>
      </w:pP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intent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Equity</w:t>
      </w:r>
      <w:r>
        <w:rPr>
          <w:spacing w:val="-17"/>
        </w:rPr>
        <w:t xml:space="preserve"> </w:t>
      </w:r>
      <w:r>
        <w:t>Bancshares/Equity</w:t>
      </w:r>
      <w:r>
        <w:rPr>
          <w:spacing w:val="-16"/>
        </w:rPr>
        <w:t xml:space="preserve"> </w:t>
      </w:r>
      <w:r>
        <w:t>Bank</w:t>
      </w:r>
      <w:r>
        <w:rPr>
          <w:spacing w:val="-17"/>
        </w:rPr>
        <w:t xml:space="preserve"> </w:t>
      </w:r>
      <w:r>
        <w:t>(Equity)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monitor</w:t>
      </w:r>
      <w:r>
        <w:rPr>
          <w:spacing w:val="-17"/>
        </w:rPr>
        <w:t xml:space="preserve"> </w:t>
      </w:r>
      <w:r>
        <w:t>activities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 xml:space="preserve">company personnel </w:t>
      </w:r>
      <w:proofErr w:type="gramStart"/>
      <w:r>
        <w:t>in regards to</w:t>
      </w:r>
      <w:proofErr w:type="gramEnd"/>
      <w:r>
        <w:t xml:space="preserve"> illegal or dishonest activities; violations of federal, state or local laws;</w:t>
      </w:r>
      <w:r>
        <w:rPr>
          <w:spacing w:val="-17"/>
        </w:rPr>
        <w:t xml:space="preserve"> </w:t>
      </w:r>
      <w:r>
        <w:t>non-compliance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banking</w:t>
      </w:r>
      <w:r>
        <w:rPr>
          <w:spacing w:val="-16"/>
        </w:rPr>
        <w:t xml:space="preserve"> </w:t>
      </w:r>
      <w:r>
        <w:t>regulations,</w:t>
      </w:r>
      <w:r>
        <w:rPr>
          <w:spacing w:val="-17"/>
        </w:rPr>
        <w:t xml:space="preserve"> </w:t>
      </w:r>
      <w:r>
        <w:t>fraudulent</w:t>
      </w:r>
      <w:r>
        <w:rPr>
          <w:spacing w:val="-15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reporting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violations of company policies.</w:t>
      </w:r>
      <w:r>
        <w:rPr>
          <w:spacing w:val="40"/>
        </w:rPr>
        <w:t xml:space="preserve"> </w:t>
      </w:r>
      <w:r>
        <w:t>It is the goal of this policy to discourage illegal activity and business conduct that damages Equity’s good name, franchise, business interest, and its relationships with shareholders, customers and the community.</w:t>
      </w:r>
      <w:r>
        <w:rPr>
          <w:spacing w:val="80"/>
        </w:rPr>
        <w:t xml:space="preserve"> </w:t>
      </w:r>
      <w:r>
        <w:t>It is also the intent of Equity to provide employees who report any incident (Reporting Employee) in the above areas, a “safe haven” for reporting such issues.</w:t>
      </w:r>
    </w:p>
    <w:p w14:paraId="4E4EDFF1" w14:textId="77777777" w:rsidR="004A1036" w:rsidRDefault="00C73AF4">
      <w:pPr>
        <w:pStyle w:val="Heading1"/>
        <w:numPr>
          <w:ilvl w:val="0"/>
          <w:numId w:val="1"/>
        </w:numPr>
        <w:tabs>
          <w:tab w:val="left" w:pos="931"/>
        </w:tabs>
        <w:spacing w:before="199"/>
        <w:ind w:hanging="811"/>
      </w:pPr>
      <w:bookmarkStart w:id="2" w:name="II____RETAILIATION"/>
      <w:bookmarkEnd w:id="2"/>
      <w:r>
        <w:rPr>
          <w:spacing w:val="-2"/>
        </w:rPr>
        <w:t>RETAILIATION</w:t>
      </w:r>
    </w:p>
    <w:p w14:paraId="42F1FF7C" w14:textId="77777777" w:rsidR="004A1036" w:rsidRDefault="00C73AF4">
      <w:pPr>
        <w:pStyle w:val="BodyText"/>
        <w:spacing w:before="240" w:line="276" w:lineRule="auto"/>
        <w:ind w:right="98"/>
        <w:jc w:val="both"/>
      </w:pPr>
      <w:r>
        <w:t>It is the policy of Equity that no Reporting Employee will be in any way retaliated against professionally or personally by any Equity employee or Director.</w:t>
      </w:r>
      <w:r>
        <w:rPr>
          <w:spacing w:val="40"/>
        </w:rPr>
        <w:t xml:space="preserve"> </w:t>
      </w:r>
      <w:r>
        <w:t>The Company will not discharge, demote, suspend, threaten, harass or in any manner discriminate against any Reporting</w:t>
      </w:r>
      <w:r>
        <w:rPr>
          <w:spacing w:val="-12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lawful</w:t>
      </w:r>
      <w:r>
        <w:rPr>
          <w:spacing w:val="-11"/>
        </w:rPr>
        <w:t xml:space="preserve"> </w:t>
      </w:r>
      <w:r>
        <w:t>actions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good faith</w:t>
      </w:r>
      <w:r>
        <w:rPr>
          <w:spacing w:val="-12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complaints</w:t>
      </w:r>
      <w:r>
        <w:rPr>
          <w:spacing w:val="-13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accounting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auditing</w:t>
      </w:r>
      <w:r>
        <w:rPr>
          <w:spacing w:val="-16"/>
        </w:rPr>
        <w:t xml:space="preserve"> </w:t>
      </w:r>
      <w:r>
        <w:t>matters,</w:t>
      </w:r>
      <w:r>
        <w:rPr>
          <w:spacing w:val="-12"/>
        </w:rPr>
        <w:t xml:space="preserve"> </w:t>
      </w:r>
      <w:r>
        <w:t>securities</w:t>
      </w:r>
      <w:r>
        <w:rPr>
          <w:spacing w:val="-15"/>
        </w:rPr>
        <w:t xml:space="preserve"> </w:t>
      </w:r>
      <w:r>
        <w:t>fraud,</w:t>
      </w:r>
      <w:r>
        <w:rPr>
          <w:spacing w:val="-12"/>
        </w:rPr>
        <w:t xml:space="preserve"> </w:t>
      </w:r>
      <w:r>
        <w:t>wire fraud,</w:t>
      </w:r>
      <w:r>
        <w:rPr>
          <w:spacing w:val="-4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governmental</w:t>
      </w:r>
      <w:r>
        <w:rPr>
          <w:spacing w:val="-5"/>
        </w:rPr>
        <w:t xml:space="preserve"> </w:t>
      </w:r>
      <w:r>
        <w:t>agency. Any</w:t>
      </w:r>
      <w:r>
        <w:rPr>
          <w:spacing w:val="-1"/>
        </w:rPr>
        <w:t xml:space="preserve"> </w:t>
      </w:r>
      <w:r>
        <w:t>Reporting Employee who</w:t>
      </w:r>
      <w:r>
        <w:rPr>
          <w:spacing w:val="-2"/>
        </w:rPr>
        <w:t xml:space="preserve"> </w:t>
      </w:r>
      <w:r>
        <w:t>believes</w:t>
      </w:r>
      <w:r>
        <w:rPr>
          <w:spacing w:val="-3"/>
        </w:rPr>
        <w:t xml:space="preserve"> </w:t>
      </w:r>
      <w:r>
        <w:t>he/she is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retaliated against</w:t>
      </w:r>
      <w:r>
        <w:rPr>
          <w:spacing w:val="-2"/>
        </w:rPr>
        <w:t xml:space="preserve"> </w:t>
      </w:r>
      <w:r>
        <w:t>must contact the Human</w:t>
      </w:r>
      <w:r>
        <w:rPr>
          <w:spacing w:val="-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immediately.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whistleblower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 xml:space="preserve">against retaliation does not include immunity </w:t>
      </w:r>
      <w:proofErr w:type="gramStart"/>
      <w:r>
        <w:t>for</w:t>
      </w:r>
      <w:proofErr w:type="gramEnd"/>
      <w:r>
        <w:t xml:space="preserve"> any personal wrongdoing that is alleged and </w:t>
      </w:r>
      <w:r>
        <w:rPr>
          <w:spacing w:val="-2"/>
        </w:rPr>
        <w:t>investigated.</w:t>
      </w:r>
    </w:p>
    <w:p w14:paraId="58E31734" w14:textId="77777777" w:rsidR="004A1036" w:rsidRDefault="00C73AF4">
      <w:pPr>
        <w:pStyle w:val="Heading1"/>
        <w:numPr>
          <w:ilvl w:val="0"/>
          <w:numId w:val="1"/>
        </w:numPr>
        <w:tabs>
          <w:tab w:val="left" w:pos="931"/>
        </w:tabs>
        <w:spacing w:before="201"/>
        <w:ind w:hanging="811"/>
      </w:pPr>
      <w:r>
        <w:rPr>
          <w:spacing w:val="-2"/>
        </w:rPr>
        <w:t>REPORTING</w:t>
      </w:r>
    </w:p>
    <w:p w14:paraId="1AFE19F5" w14:textId="77777777" w:rsidR="004A1036" w:rsidRDefault="00C73AF4">
      <w:pPr>
        <w:pStyle w:val="BodyText"/>
        <w:spacing w:before="242" w:line="276" w:lineRule="auto"/>
        <w:ind w:right="99"/>
        <w:jc w:val="both"/>
      </w:pPr>
      <w:r>
        <w:t>An employee that has knowledge of or a concern about illegal, dishonest or fraudulent activity may report such concerns confidentially through the special telephone number or email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receiving such complaints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Equity has</w:t>
      </w:r>
      <w:r>
        <w:rPr>
          <w:spacing w:val="-2"/>
        </w:rPr>
        <w:t xml:space="preserve"> </w:t>
      </w:r>
      <w:r>
        <w:t>established.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or complaints may be submitted via the following methods:</w:t>
      </w:r>
    </w:p>
    <w:p w14:paraId="21368D58" w14:textId="77777777" w:rsidR="004A1036" w:rsidRDefault="00C73AF4">
      <w:pPr>
        <w:pStyle w:val="ListParagraph"/>
        <w:numPr>
          <w:ilvl w:val="1"/>
          <w:numId w:val="1"/>
        </w:numPr>
        <w:tabs>
          <w:tab w:val="left" w:pos="839"/>
        </w:tabs>
        <w:spacing w:before="200"/>
        <w:ind w:left="839" w:hanging="359"/>
        <w:rPr>
          <w:sz w:val="24"/>
        </w:rPr>
      </w:pPr>
      <w:r>
        <w:rPr>
          <w:sz w:val="24"/>
        </w:rPr>
        <w:t>Via email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hyperlink r:id="rId5">
        <w:r>
          <w:rPr>
            <w:color w:val="0000FF"/>
            <w:spacing w:val="-2"/>
            <w:sz w:val="24"/>
            <w:u w:val="single" w:color="0000FF"/>
          </w:rPr>
          <w:t>ConcernLine@equitybank.com</w:t>
        </w:r>
      </w:hyperlink>
    </w:p>
    <w:p w14:paraId="44D92B6E" w14:textId="77777777" w:rsidR="004A1036" w:rsidRDefault="00C73AF4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316-612-</w:t>
      </w:r>
      <w:r>
        <w:rPr>
          <w:spacing w:val="-4"/>
          <w:sz w:val="24"/>
        </w:rPr>
        <w:t>6066</w:t>
      </w:r>
    </w:p>
    <w:p w14:paraId="5A63F938" w14:textId="77777777" w:rsidR="004A1036" w:rsidRDefault="00C73AF4">
      <w:pPr>
        <w:pStyle w:val="BodyText"/>
        <w:spacing w:before="238" w:line="278" w:lineRule="auto"/>
        <w:ind w:left="119" w:right="103"/>
        <w:jc w:val="both"/>
      </w:pPr>
      <w:r>
        <w:t>Additionally, employees may also communicate their concerns or complaints on an anonymous basis via regular U.S. mail sent to either of the following:</w:t>
      </w:r>
    </w:p>
    <w:p w14:paraId="485CC684" w14:textId="77777777" w:rsidR="004A1036" w:rsidRDefault="004A1036">
      <w:pPr>
        <w:pStyle w:val="BodyText"/>
        <w:ind w:left="0"/>
        <w:rPr>
          <w:sz w:val="22"/>
        </w:rPr>
      </w:pPr>
    </w:p>
    <w:p w14:paraId="2A388262" w14:textId="77777777" w:rsidR="004A1036" w:rsidRDefault="004A1036">
      <w:pPr>
        <w:pStyle w:val="BodyText"/>
        <w:ind w:left="0"/>
        <w:rPr>
          <w:sz w:val="22"/>
        </w:rPr>
      </w:pPr>
    </w:p>
    <w:p w14:paraId="54EEA791" w14:textId="77777777" w:rsidR="004A1036" w:rsidRDefault="004A1036">
      <w:pPr>
        <w:pStyle w:val="BodyText"/>
        <w:spacing w:before="23"/>
        <w:ind w:left="0"/>
        <w:rPr>
          <w:sz w:val="22"/>
        </w:rPr>
      </w:pPr>
    </w:p>
    <w:p w14:paraId="629F47D4" w14:textId="77777777" w:rsidR="004A1036" w:rsidRDefault="00C73AF4">
      <w:pPr>
        <w:ind w:left="2446" w:right="2432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13938E46" w14:textId="77777777" w:rsidR="004A1036" w:rsidRDefault="004A1036">
      <w:pPr>
        <w:jc w:val="center"/>
        <w:rPr>
          <w:rFonts w:ascii="Calibri"/>
        </w:rPr>
        <w:sectPr w:rsidR="004A1036">
          <w:type w:val="continuous"/>
          <w:pgSz w:w="12240" w:h="15840"/>
          <w:pgMar w:top="1360" w:right="1160" w:bottom="280" w:left="1320" w:header="720" w:footer="720" w:gutter="0"/>
          <w:cols w:space="720"/>
        </w:sectPr>
      </w:pPr>
    </w:p>
    <w:p w14:paraId="1EC5C961" w14:textId="77777777" w:rsidR="004A1036" w:rsidRDefault="00C73AF4">
      <w:pPr>
        <w:spacing w:before="68"/>
        <w:ind w:left="350"/>
        <w:rPr>
          <w:sz w:val="16"/>
        </w:rPr>
      </w:pPr>
      <w:r>
        <w:rPr>
          <w:sz w:val="16"/>
        </w:rPr>
        <w:lastRenderedPageBreak/>
        <w:t>EQUITY</w:t>
      </w:r>
      <w:r>
        <w:rPr>
          <w:spacing w:val="-8"/>
          <w:sz w:val="16"/>
        </w:rPr>
        <w:t xml:space="preserve"> </w:t>
      </w:r>
      <w:r>
        <w:rPr>
          <w:sz w:val="16"/>
        </w:rPr>
        <w:t>BANCSHARES,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INC.</w:t>
      </w:r>
    </w:p>
    <w:p w14:paraId="24CB5FB0" w14:textId="77777777" w:rsidR="004A1036" w:rsidRDefault="00C73AF4">
      <w:pPr>
        <w:spacing w:before="1"/>
        <w:ind w:left="350" w:right="5378"/>
        <w:rPr>
          <w:sz w:val="16"/>
        </w:rPr>
      </w:pPr>
      <w:r>
        <w:rPr>
          <w:sz w:val="16"/>
        </w:rPr>
        <w:t>POLICY</w:t>
      </w:r>
      <w:r>
        <w:rPr>
          <w:spacing w:val="-10"/>
          <w:sz w:val="16"/>
        </w:rPr>
        <w:t xml:space="preserve"> </w:t>
      </w:r>
      <w:r>
        <w:rPr>
          <w:sz w:val="16"/>
        </w:rPr>
        <w:t>REGARDING</w:t>
      </w:r>
      <w:r>
        <w:rPr>
          <w:spacing w:val="-10"/>
          <w:sz w:val="16"/>
        </w:rPr>
        <w:t xml:space="preserve"> </w:t>
      </w:r>
      <w:r>
        <w:rPr>
          <w:sz w:val="16"/>
        </w:rPr>
        <w:t>REPORTS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CONCERN ABOUT ILLEGAL OR DISHONEST ACTIVITIES</w:t>
      </w:r>
    </w:p>
    <w:p w14:paraId="2922A76C" w14:textId="56B7A98F" w:rsidR="004A1036" w:rsidRDefault="00C73AF4">
      <w:pPr>
        <w:tabs>
          <w:tab w:val="left" w:pos="9539"/>
        </w:tabs>
        <w:spacing w:line="183" w:lineRule="exact"/>
        <w:ind w:left="220"/>
        <w:rPr>
          <w:sz w:val="16"/>
        </w:rPr>
      </w:pPr>
      <w:r>
        <w:rPr>
          <w:spacing w:val="75"/>
          <w:sz w:val="16"/>
          <w:u w:val="single"/>
        </w:rPr>
        <w:t xml:space="preserve"> </w:t>
      </w:r>
      <w:r>
        <w:rPr>
          <w:sz w:val="16"/>
          <w:u w:val="single"/>
        </w:rPr>
        <w:t>EFFECTIVE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DECEMBER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1,</w:t>
      </w:r>
      <w:r>
        <w:rPr>
          <w:spacing w:val="-1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202</w:t>
      </w:r>
      <w:r w:rsidR="00361528">
        <w:rPr>
          <w:spacing w:val="-4"/>
          <w:sz w:val="16"/>
          <w:u w:val="single"/>
        </w:rPr>
        <w:t>5</w:t>
      </w:r>
      <w:r>
        <w:rPr>
          <w:sz w:val="16"/>
          <w:u w:val="single"/>
        </w:rPr>
        <w:tab/>
      </w:r>
    </w:p>
    <w:p w14:paraId="317DB4D3" w14:textId="77777777" w:rsidR="004A1036" w:rsidRDefault="004A1036">
      <w:pPr>
        <w:pStyle w:val="BodyText"/>
        <w:spacing w:before="223"/>
        <w:ind w:left="0"/>
      </w:pPr>
    </w:p>
    <w:p w14:paraId="3E8ECD48" w14:textId="77777777" w:rsidR="004A1036" w:rsidRDefault="00C73AF4">
      <w:pPr>
        <w:pStyle w:val="BodyText"/>
        <w:tabs>
          <w:tab w:val="left" w:pos="5656"/>
        </w:tabs>
      </w:pP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Counsel</w:t>
      </w:r>
      <w:r>
        <w:tab/>
        <w:t>Chairman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Committee</w:t>
      </w:r>
    </w:p>
    <w:p w14:paraId="076619B4" w14:textId="77777777" w:rsidR="004A1036" w:rsidRDefault="00C73AF4">
      <w:pPr>
        <w:pStyle w:val="BodyText"/>
        <w:tabs>
          <w:tab w:val="left" w:pos="5668"/>
        </w:tabs>
      </w:pPr>
      <w:r>
        <w:t>Equity</w:t>
      </w:r>
      <w:r>
        <w:rPr>
          <w:spacing w:val="-3"/>
        </w:rPr>
        <w:t xml:space="preserve"> </w:t>
      </w:r>
      <w:r>
        <w:rPr>
          <w:spacing w:val="-4"/>
        </w:rPr>
        <w:t>Bank</w:t>
      </w:r>
      <w:r>
        <w:tab/>
        <w:t>Equity</w:t>
      </w:r>
      <w:r>
        <w:rPr>
          <w:spacing w:val="-5"/>
        </w:rPr>
        <w:t xml:space="preserve"> </w:t>
      </w:r>
      <w:r>
        <w:rPr>
          <w:spacing w:val="-4"/>
        </w:rPr>
        <w:t>Bank</w:t>
      </w:r>
    </w:p>
    <w:p w14:paraId="72F4B9FF" w14:textId="77777777" w:rsidR="004A1036" w:rsidRDefault="00C73AF4">
      <w:pPr>
        <w:pStyle w:val="BodyText"/>
        <w:tabs>
          <w:tab w:val="left" w:pos="5630"/>
        </w:tabs>
      </w:pPr>
      <w:r>
        <w:t>7701</w:t>
      </w:r>
      <w:r>
        <w:rPr>
          <w:spacing w:val="-1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Kellogg,</w:t>
      </w:r>
      <w:r>
        <w:rPr>
          <w:spacing w:val="-3"/>
        </w:rPr>
        <w:t xml:space="preserve"> </w:t>
      </w:r>
      <w:r>
        <w:t>Suite</w:t>
      </w:r>
      <w:r>
        <w:rPr>
          <w:spacing w:val="-5"/>
        </w:rPr>
        <w:t xml:space="preserve"> 300</w:t>
      </w:r>
      <w:r>
        <w:tab/>
        <w:t>7701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Kellogg,</w:t>
      </w:r>
      <w:r>
        <w:rPr>
          <w:spacing w:val="-3"/>
        </w:rPr>
        <w:t xml:space="preserve"> </w:t>
      </w:r>
      <w:r>
        <w:t>Suite</w:t>
      </w:r>
      <w:r>
        <w:rPr>
          <w:spacing w:val="-5"/>
        </w:rPr>
        <w:t xml:space="preserve"> 300</w:t>
      </w:r>
    </w:p>
    <w:p w14:paraId="319060E7" w14:textId="77777777" w:rsidR="004A1036" w:rsidRDefault="00C73AF4">
      <w:pPr>
        <w:pStyle w:val="BodyText"/>
        <w:tabs>
          <w:tab w:val="left" w:pos="5642"/>
        </w:tabs>
      </w:pPr>
      <w:r>
        <w:t>Wichita,</w:t>
      </w:r>
      <w:r>
        <w:rPr>
          <w:spacing w:val="-5"/>
        </w:rPr>
        <w:t xml:space="preserve"> </w:t>
      </w:r>
      <w:r>
        <w:t>Kansas</w:t>
      </w:r>
      <w:r>
        <w:rPr>
          <w:spacing w:val="63"/>
        </w:rPr>
        <w:t xml:space="preserve"> </w:t>
      </w:r>
      <w:r>
        <w:rPr>
          <w:spacing w:val="-4"/>
        </w:rPr>
        <w:t>67207</w:t>
      </w:r>
      <w:r>
        <w:tab/>
        <w:t>Wichita,</w:t>
      </w:r>
      <w:r>
        <w:rPr>
          <w:spacing w:val="-5"/>
        </w:rPr>
        <w:t xml:space="preserve"> </w:t>
      </w:r>
      <w:r>
        <w:t>Kansas</w:t>
      </w:r>
      <w:r>
        <w:rPr>
          <w:spacing w:val="-3"/>
        </w:rPr>
        <w:t xml:space="preserve"> </w:t>
      </w:r>
      <w:r>
        <w:rPr>
          <w:spacing w:val="-2"/>
        </w:rPr>
        <w:t>67207</w:t>
      </w:r>
    </w:p>
    <w:p w14:paraId="0AE23BBD" w14:textId="77777777" w:rsidR="004A1036" w:rsidRDefault="004A1036">
      <w:pPr>
        <w:pStyle w:val="BodyText"/>
        <w:spacing w:before="240"/>
        <w:ind w:left="0"/>
      </w:pPr>
    </w:p>
    <w:p w14:paraId="241A6F85" w14:textId="77777777" w:rsidR="004A1036" w:rsidRDefault="00C73AF4">
      <w:pPr>
        <w:pStyle w:val="BodyText"/>
        <w:spacing w:line="278" w:lineRule="auto"/>
        <w:ind w:right="102"/>
        <w:jc w:val="both"/>
      </w:pPr>
      <w:r>
        <w:t>The General Counsel and the Chairman of the Audit Committee will be the designated recipients of any report made in the Company’s confidential reporting system.</w:t>
      </w:r>
    </w:p>
    <w:p w14:paraId="2534FB17" w14:textId="77777777" w:rsidR="004A1036" w:rsidRDefault="004A1036">
      <w:pPr>
        <w:pStyle w:val="BodyText"/>
        <w:spacing w:before="37"/>
        <w:ind w:left="0"/>
      </w:pPr>
    </w:p>
    <w:p w14:paraId="7C91568D" w14:textId="77777777" w:rsidR="004A1036" w:rsidRDefault="00C73AF4">
      <w:pPr>
        <w:pStyle w:val="BodyText"/>
        <w:spacing w:line="276" w:lineRule="auto"/>
        <w:ind w:right="99"/>
        <w:jc w:val="both"/>
      </w:pPr>
      <w:r>
        <w:t>An employee who wishes to make a report in person may do so by contacting General Counsel or the Chairman of the Audit Committee.</w:t>
      </w:r>
      <w:r>
        <w:rPr>
          <w:spacing w:val="40"/>
        </w:rPr>
        <w:t xml:space="preserve"> </w:t>
      </w:r>
      <w:r>
        <w:t>Any such reports will be treated in confidence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divulged,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required by legal or regulatory proceedings.</w:t>
      </w:r>
    </w:p>
    <w:p w14:paraId="6EB25E13" w14:textId="77777777" w:rsidR="004A1036" w:rsidRDefault="004A1036">
      <w:pPr>
        <w:pStyle w:val="BodyText"/>
        <w:spacing w:before="41"/>
        <w:ind w:left="0"/>
      </w:pPr>
    </w:p>
    <w:p w14:paraId="4BCFECAC" w14:textId="77777777" w:rsidR="004A1036" w:rsidRDefault="00C73AF4">
      <w:pPr>
        <w:pStyle w:val="BodyText"/>
        <w:spacing w:line="276" w:lineRule="auto"/>
        <w:ind w:right="99"/>
        <w:jc w:val="both"/>
      </w:pPr>
      <w:proofErr w:type="gramStart"/>
      <w:r>
        <w:t>In the event that</w:t>
      </w:r>
      <w:proofErr w:type="gramEnd"/>
      <w:r>
        <w:t xml:space="preserve"> a complaint or expression of concern of the type referenced above is received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face,</w:t>
      </w:r>
      <w:r>
        <w:rPr>
          <w:spacing w:val="-11"/>
        </w:rPr>
        <w:t xml:space="preserve"> </w:t>
      </w:r>
      <w:r>
        <w:t>involves</w:t>
      </w:r>
      <w:r>
        <w:rPr>
          <w:spacing w:val="-14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indirectly,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officer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Company, the complaint or expression of concern will be referred immediately to the Chairman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engagement</w:t>
      </w:r>
      <w:r>
        <w:rPr>
          <w:spacing w:val="-9"/>
        </w:rPr>
        <w:t xml:space="preserve"> </w:t>
      </w:r>
      <w:r>
        <w:t>of outside legal counsel.</w:t>
      </w:r>
      <w:r>
        <w:rPr>
          <w:spacing w:val="40"/>
        </w:rPr>
        <w:t xml:space="preserve"> </w:t>
      </w:r>
      <w:r>
        <w:t>Other complaints or concerns reported will be investigated by General Counsel.</w:t>
      </w:r>
      <w:r>
        <w:rPr>
          <w:spacing w:val="40"/>
        </w:rPr>
        <w:t xml:space="preserve"> </w:t>
      </w:r>
      <w:r>
        <w:t>General Counsel will maintain a log of all complaints, tracking receipt, investigation and resolution and will prepare a report thereof to the Audit Committee.</w:t>
      </w:r>
    </w:p>
    <w:p w14:paraId="02B76060" w14:textId="77777777" w:rsidR="004A1036" w:rsidRDefault="004A1036">
      <w:pPr>
        <w:pStyle w:val="BodyText"/>
        <w:spacing w:before="41"/>
        <w:ind w:left="0"/>
      </w:pPr>
    </w:p>
    <w:p w14:paraId="4FF8E6D7" w14:textId="77777777" w:rsidR="004A1036" w:rsidRDefault="00C73AF4">
      <w:pPr>
        <w:pStyle w:val="BodyText"/>
        <w:spacing w:line="276" w:lineRule="auto"/>
        <w:ind w:right="99"/>
        <w:jc w:val="both"/>
      </w:pPr>
      <w:r>
        <w:t>Employees must exercise sound judgment to avoid baseless allegations.</w:t>
      </w:r>
      <w:r>
        <w:rPr>
          <w:spacing w:val="40"/>
        </w:rPr>
        <w:t xml:space="preserve"> </w:t>
      </w:r>
      <w:r>
        <w:t>An employee who intentionally files a false report of wrongdoing will be subject to disciplinary action up to and including termination.</w:t>
      </w:r>
    </w:p>
    <w:p w14:paraId="1ABCA724" w14:textId="77777777" w:rsidR="004A1036" w:rsidRDefault="004A1036">
      <w:pPr>
        <w:pStyle w:val="BodyText"/>
        <w:spacing w:before="42"/>
        <w:ind w:left="0"/>
      </w:pPr>
    </w:p>
    <w:p w14:paraId="5264E32C" w14:textId="77777777" w:rsidR="004A1036" w:rsidRDefault="00C73AF4">
      <w:pPr>
        <w:pStyle w:val="BodyText"/>
      </w:pPr>
      <w:r>
        <w:t>This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grievances,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employment.</w:t>
      </w:r>
    </w:p>
    <w:sectPr w:rsidR="004A1036">
      <w:pgSz w:w="12240" w:h="15840"/>
      <w:pgMar w:top="90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5A08"/>
    <w:multiLevelType w:val="hybridMultilevel"/>
    <w:tmpl w:val="725EF224"/>
    <w:lvl w:ilvl="0" w:tplc="198ED942">
      <w:start w:val="2"/>
      <w:numFmt w:val="upperRoman"/>
      <w:lvlText w:val="%1"/>
      <w:lvlJc w:val="left"/>
      <w:pPr>
        <w:ind w:left="931" w:hanging="8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080E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92E50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3850DB9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B28C1DE0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9EFE082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2302840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F3C8488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EEB4F82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42377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36"/>
    <w:rsid w:val="00361528"/>
    <w:rsid w:val="00364CFE"/>
    <w:rsid w:val="004A1036"/>
    <w:rsid w:val="006452FD"/>
    <w:rsid w:val="009B7C98"/>
    <w:rsid w:val="00C73AF4"/>
    <w:rsid w:val="00CD170A"/>
    <w:rsid w:val="00DF75AE"/>
    <w:rsid w:val="00E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32F0"/>
  <w15:docId w15:val="{1A5D9FCC-D0D7-49E3-8DF5-92E4B74B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931" w:hanging="8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10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839" w:hanging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73AF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ernLine@equity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Company>Equity Bank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Regarding Reports of Concern Regarding Illegal or Dishonest Activities 12.15.22.docx</dc:title>
  <dc:creator>Rolando Mayans</dc:creator>
  <cp:lastModifiedBy>Erick Emes</cp:lastModifiedBy>
  <cp:revision>3</cp:revision>
  <dcterms:created xsi:type="dcterms:W3CDTF">2025-11-10T22:49:00Z</dcterms:created>
  <dcterms:modified xsi:type="dcterms:W3CDTF">2025-12-17T16:12:00Z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D:20221212171021</vt:lpwstr>
  </property>
  <property fmtid="{D5CDD505-2E9C-101B-9397-08002B2CF9AE}" pid="7" name="UserDate">
    <vt:lpwstr>12/13/2022 9:14:24 AM</vt:lpwstr>
  </property>
</Properties>
</file>