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12AC" w14:textId="073A0B35" w:rsidR="00A77B3E" w:rsidRDefault="00B91B60">
      <w:pPr>
        <w:spacing w:line="288" w:lineRule="auto"/>
        <w:rPr>
          <w:rFonts w:ascii="Arial" w:eastAsia="Arial" w:hAnsi="Arial" w:cs="Arial"/>
          <w:color w:val="000000"/>
          <w:shd w:val="clear" w:color="auto" w:fill="00FF00"/>
        </w:rPr>
      </w:pPr>
      <w:bookmarkStart w:id="0" w:name="Section1"/>
      <w:bookmarkEnd w:id="0"/>
      <w:r>
        <w:rPr>
          <w:noProof/>
        </w:rPr>
        <w:drawing>
          <wp:inline distT="0" distB="0" distL="0" distR="0" wp14:anchorId="77375A90" wp14:editId="58CC9831">
            <wp:extent cx="271462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4625" cy="419100"/>
                    </a:xfrm>
                    <a:prstGeom prst="rect">
                      <a:avLst/>
                    </a:prstGeom>
                    <a:noFill/>
                    <a:ln>
                      <a:noFill/>
                    </a:ln>
                  </pic:spPr>
                </pic:pic>
              </a:graphicData>
            </a:graphic>
          </wp:inline>
        </w:drawing>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3977E3" w14:paraId="00A331D0" w14:textId="77777777">
        <w:trPr>
          <w:cantSplit/>
          <w:trHeight w:hRule="exact" w:val="105"/>
        </w:trPr>
        <w:tc>
          <w:tcPr>
            <w:tcW w:w="9360" w:type="dxa"/>
            <w:tcBorders>
              <w:top w:val="nil"/>
              <w:left w:val="nil"/>
              <w:bottom w:val="single" w:sz="8" w:space="0" w:color="000000"/>
              <w:right w:val="nil"/>
            </w:tcBorders>
            <w:tcMar>
              <w:top w:w="0" w:type="dxa"/>
              <w:left w:w="0" w:type="dxa"/>
              <w:bottom w:w="0" w:type="dxa"/>
              <w:right w:w="0" w:type="dxa"/>
            </w:tcMar>
            <w:vAlign w:val="bottom"/>
          </w:tcPr>
          <w:p w14:paraId="15D3FD25" w14:textId="77777777" w:rsidR="003977E3" w:rsidRDefault="003977E3"/>
        </w:tc>
      </w:tr>
    </w:tbl>
    <w:p w14:paraId="0FBAB9FA" w14:textId="77777777" w:rsidR="003977E3" w:rsidRDefault="003977E3">
      <w:pPr>
        <w:spacing w:before="160" w:line="288" w:lineRule="auto"/>
        <w:jc w:val="center"/>
        <w:rPr>
          <w:rFonts w:ascii="Arial" w:eastAsia="Arial" w:hAnsi="Arial" w:cs="Arial"/>
          <w:sz w:val="1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5"/>
        <w:gridCol w:w="2880"/>
        <w:gridCol w:w="3315"/>
      </w:tblGrid>
      <w:tr w:rsidR="003977E3" w14:paraId="7947C1B5" w14:textId="77777777">
        <w:trPr>
          <w:cantSplit/>
          <w:trHeight w:hRule="exact" w:val="255"/>
          <w:jc w:val="center"/>
        </w:trPr>
        <w:tc>
          <w:tcPr>
            <w:tcW w:w="3165" w:type="dxa"/>
            <w:tcBorders>
              <w:top w:val="nil"/>
              <w:left w:val="nil"/>
              <w:bottom w:val="nil"/>
              <w:right w:val="nil"/>
            </w:tcBorders>
            <w:tcMar>
              <w:top w:w="0" w:type="dxa"/>
              <w:left w:w="0" w:type="dxa"/>
              <w:bottom w:w="0" w:type="dxa"/>
              <w:right w:w="0" w:type="dxa"/>
            </w:tcMar>
            <w:vAlign w:val="bottom"/>
          </w:tcPr>
          <w:p w14:paraId="097D7541" w14:textId="77777777" w:rsidR="003977E3" w:rsidRDefault="003977E3">
            <w:pPr>
              <w:keepNext/>
            </w:pPr>
          </w:p>
        </w:tc>
        <w:tc>
          <w:tcPr>
            <w:tcW w:w="2880" w:type="dxa"/>
            <w:tcBorders>
              <w:top w:val="nil"/>
              <w:left w:val="nil"/>
              <w:bottom w:val="nil"/>
              <w:right w:val="nil"/>
            </w:tcBorders>
            <w:tcMar>
              <w:top w:w="0" w:type="dxa"/>
              <w:left w:w="0" w:type="dxa"/>
              <w:bottom w:w="0" w:type="dxa"/>
              <w:right w:w="0" w:type="dxa"/>
            </w:tcMar>
            <w:vAlign w:val="bottom"/>
          </w:tcPr>
          <w:p w14:paraId="2D07FDE4" w14:textId="77777777" w:rsidR="003977E3" w:rsidRDefault="003977E3">
            <w:pPr>
              <w:keepNext/>
            </w:pPr>
          </w:p>
        </w:tc>
        <w:tc>
          <w:tcPr>
            <w:tcW w:w="3315" w:type="dxa"/>
            <w:tcBorders>
              <w:top w:val="nil"/>
              <w:left w:val="nil"/>
              <w:bottom w:val="nil"/>
              <w:right w:val="nil"/>
            </w:tcBorders>
            <w:tcMar>
              <w:top w:w="0" w:type="dxa"/>
              <w:left w:w="0" w:type="dxa"/>
              <w:bottom w:w="0" w:type="dxa"/>
              <w:right w:w="53" w:type="dxa"/>
            </w:tcMar>
            <w:vAlign w:val="bottom"/>
          </w:tcPr>
          <w:p w14:paraId="26A3E9A9" w14:textId="77777777" w:rsidR="003977E3" w:rsidRDefault="00000000">
            <w:pPr>
              <w:keepNext/>
              <w:spacing w:before="53" w:after="30"/>
              <w:jc w:val="right"/>
            </w:pPr>
            <w:r>
              <w:rPr>
                <w:b/>
                <w:color w:val="000000"/>
                <w:sz w:val="20"/>
              </w:rPr>
              <w:t>INVESTOR CONTACT</w:t>
            </w:r>
          </w:p>
        </w:tc>
      </w:tr>
      <w:tr w:rsidR="003977E3" w14:paraId="10A6C9C4" w14:textId="77777777">
        <w:trPr>
          <w:cantSplit/>
          <w:trHeight w:hRule="exact" w:val="255"/>
          <w:jc w:val="center"/>
        </w:trPr>
        <w:tc>
          <w:tcPr>
            <w:tcW w:w="3165" w:type="dxa"/>
            <w:tcBorders>
              <w:top w:val="nil"/>
              <w:left w:val="nil"/>
              <w:bottom w:val="nil"/>
              <w:right w:val="nil"/>
            </w:tcBorders>
            <w:tcMar>
              <w:top w:w="0" w:type="dxa"/>
              <w:left w:w="0" w:type="dxa"/>
              <w:bottom w:w="0" w:type="dxa"/>
              <w:right w:w="0" w:type="dxa"/>
            </w:tcMar>
            <w:vAlign w:val="bottom"/>
          </w:tcPr>
          <w:p w14:paraId="50DF45FC" w14:textId="77777777" w:rsidR="003977E3" w:rsidRDefault="003977E3">
            <w:pPr>
              <w:keepNext/>
            </w:pPr>
          </w:p>
        </w:tc>
        <w:tc>
          <w:tcPr>
            <w:tcW w:w="2880" w:type="dxa"/>
            <w:tcBorders>
              <w:top w:val="nil"/>
              <w:left w:val="nil"/>
              <w:bottom w:val="nil"/>
              <w:right w:val="nil"/>
            </w:tcBorders>
            <w:tcMar>
              <w:top w:w="0" w:type="dxa"/>
              <w:left w:w="0" w:type="dxa"/>
              <w:bottom w:w="0" w:type="dxa"/>
              <w:right w:w="0" w:type="dxa"/>
            </w:tcMar>
            <w:vAlign w:val="bottom"/>
          </w:tcPr>
          <w:p w14:paraId="208CB522" w14:textId="77777777" w:rsidR="003977E3" w:rsidRDefault="003977E3">
            <w:pPr>
              <w:keepNext/>
            </w:pPr>
          </w:p>
        </w:tc>
        <w:tc>
          <w:tcPr>
            <w:tcW w:w="3315" w:type="dxa"/>
            <w:tcBorders>
              <w:top w:val="nil"/>
              <w:left w:val="nil"/>
              <w:bottom w:val="nil"/>
              <w:right w:val="nil"/>
            </w:tcBorders>
            <w:tcMar>
              <w:top w:w="0" w:type="dxa"/>
              <w:left w:w="0" w:type="dxa"/>
              <w:bottom w:w="0" w:type="dxa"/>
              <w:right w:w="53" w:type="dxa"/>
            </w:tcMar>
            <w:vAlign w:val="bottom"/>
          </w:tcPr>
          <w:p w14:paraId="510D91FF" w14:textId="77777777" w:rsidR="003977E3" w:rsidRDefault="00000000">
            <w:pPr>
              <w:keepNext/>
              <w:spacing w:before="53" w:after="30"/>
              <w:jc w:val="right"/>
            </w:pPr>
            <w:r>
              <w:rPr>
                <w:color w:val="000000"/>
                <w:sz w:val="20"/>
              </w:rPr>
              <w:t>Jocelyn Kukulka, 469.399.8544</w:t>
            </w:r>
          </w:p>
        </w:tc>
      </w:tr>
      <w:tr w:rsidR="003977E3" w14:paraId="69FB0DD0" w14:textId="77777777">
        <w:trPr>
          <w:cantSplit/>
          <w:trHeight w:hRule="exact" w:val="255"/>
          <w:jc w:val="center"/>
        </w:trPr>
        <w:tc>
          <w:tcPr>
            <w:tcW w:w="3165" w:type="dxa"/>
            <w:tcBorders>
              <w:top w:val="nil"/>
              <w:left w:val="nil"/>
              <w:bottom w:val="nil"/>
              <w:right w:val="nil"/>
            </w:tcBorders>
            <w:tcMar>
              <w:top w:w="0" w:type="dxa"/>
              <w:left w:w="0" w:type="dxa"/>
              <w:bottom w:w="0" w:type="dxa"/>
              <w:right w:w="0" w:type="dxa"/>
            </w:tcMar>
            <w:vAlign w:val="bottom"/>
          </w:tcPr>
          <w:p w14:paraId="69972DC8" w14:textId="77777777" w:rsidR="003977E3" w:rsidRDefault="003977E3">
            <w:pPr>
              <w:keepNext/>
            </w:pPr>
          </w:p>
        </w:tc>
        <w:tc>
          <w:tcPr>
            <w:tcW w:w="2880" w:type="dxa"/>
            <w:tcBorders>
              <w:top w:val="nil"/>
              <w:left w:val="nil"/>
              <w:bottom w:val="nil"/>
              <w:right w:val="nil"/>
            </w:tcBorders>
            <w:tcMar>
              <w:top w:w="0" w:type="dxa"/>
              <w:left w:w="0" w:type="dxa"/>
              <w:bottom w:w="0" w:type="dxa"/>
              <w:right w:w="0" w:type="dxa"/>
            </w:tcMar>
            <w:vAlign w:val="bottom"/>
          </w:tcPr>
          <w:p w14:paraId="67C439BB" w14:textId="77777777" w:rsidR="003977E3" w:rsidRDefault="003977E3">
            <w:pPr>
              <w:keepNext/>
            </w:pPr>
          </w:p>
        </w:tc>
        <w:tc>
          <w:tcPr>
            <w:tcW w:w="3315" w:type="dxa"/>
            <w:tcBorders>
              <w:top w:val="nil"/>
              <w:left w:val="nil"/>
              <w:bottom w:val="nil"/>
              <w:right w:val="nil"/>
            </w:tcBorders>
            <w:tcMar>
              <w:top w:w="0" w:type="dxa"/>
              <w:left w:w="0" w:type="dxa"/>
              <w:bottom w:w="0" w:type="dxa"/>
              <w:right w:w="53" w:type="dxa"/>
            </w:tcMar>
            <w:vAlign w:val="bottom"/>
          </w:tcPr>
          <w:p w14:paraId="6DE7A03C" w14:textId="77777777" w:rsidR="003977E3" w:rsidRDefault="00000000">
            <w:pPr>
              <w:keepNext/>
              <w:spacing w:before="53" w:after="30"/>
              <w:jc w:val="right"/>
            </w:pPr>
            <w:r>
              <w:rPr>
                <w:color w:val="0000FF"/>
                <w:sz w:val="20"/>
                <w:u w:val="single"/>
              </w:rPr>
              <w:t>jocelyn.kukulka@texascapitalbank.com</w:t>
            </w:r>
          </w:p>
        </w:tc>
      </w:tr>
      <w:tr w:rsidR="003977E3" w14:paraId="5B006532" w14:textId="77777777">
        <w:trPr>
          <w:cantSplit/>
          <w:trHeight w:hRule="exact" w:val="255"/>
          <w:jc w:val="center"/>
        </w:trPr>
        <w:tc>
          <w:tcPr>
            <w:tcW w:w="3165" w:type="dxa"/>
            <w:tcBorders>
              <w:top w:val="nil"/>
              <w:left w:val="nil"/>
              <w:bottom w:val="nil"/>
              <w:right w:val="nil"/>
            </w:tcBorders>
            <w:tcMar>
              <w:top w:w="0" w:type="dxa"/>
              <w:left w:w="0" w:type="dxa"/>
              <w:bottom w:w="0" w:type="dxa"/>
              <w:right w:w="0" w:type="dxa"/>
            </w:tcMar>
            <w:vAlign w:val="bottom"/>
          </w:tcPr>
          <w:p w14:paraId="5F4DD3AE" w14:textId="77777777" w:rsidR="003977E3" w:rsidRDefault="003977E3">
            <w:pPr>
              <w:keepNext/>
            </w:pPr>
          </w:p>
        </w:tc>
        <w:tc>
          <w:tcPr>
            <w:tcW w:w="2880" w:type="dxa"/>
            <w:tcBorders>
              <w:top w:val="nil"/>
              <w:left w:val="nil"/>
              <w:bottom w:val="nil"/>
              <w:right w:val="nil"/>
            </w:tcBorders>
            <w:tcMar>
              <w:top w:w="0" w:type="dxa"/>
              <w:left w:w="0" w:type="dxa"/>
              <w:bottom w:w="0" w:type="dxa"/>
              <w:right w:w="0" w:type="dxa"/>
            </w:tcMar>
            <w:vAlign w:val="bottom"/>
          </w:tcPr>
          <w:p w14:paraId="47BEA25C" w14:textId="77777777" w:rsidR="003977E3" w:rsidRDefault="003977E3">
            <w:pPr>
              <w:keepNext/>
            </w:pPr>
          </w:p>
        </w:tc>
        <w:tc>
          <w:tcPr>
            <w:tcW w:w="3315" w:type="dxa"/>
            <w:tcBorders>
              <w:top w:val="nil"/>
              <w:left w:val="nil"/>
              <w:bottom w:val="nil"/>
              <w:right w:val="nil"/>
            </w:tcBorders>
            <w:tcMar>
              <w:top w:w="0" w:type="dxa"/>
              <w:left w:w="0" w:type="dxa"/>
              <w:bottom w:w="0" w:type="dxa"/>
              <w:right w:w="0" w:type="dxa"/>
            </w:tcMar>
            <w:vAlign w:val="bottom"/>
          </w:tcPr>
          <w:p w14:paraId="77678FB1" w14:textId="77777777" w:rsidR="003977E3" w:rsidRDefault="003977E3">
            <w:pPr>
              <w:keepNext/>
            </w:pPr>
          </w:p>
        </w:tc>
      </w:tr>
      <w:tr w:rsidR="003977E3" w14:paraId="20F66B05" w14:textId="77777777">
        <w:trPr>
          <w:cantSplit/>
          <w:trHeight w:hRule="exact" w:val="255"/>
          <w:jc w:val="center"/>
        </w:trPr>
        <w:tc>
          <w:tcPr>
            <w:tcW w:w="3165" w:type="dxa"/>
            <w:tcBorders>
              <w:top w:val="nil"/>
              <w:left w:val="nil"/>
              <w:bottom w:val="nil"/>
              <w:right w:val="nil"/>
            </w:tcBorders>
            <w:tcMar>
              <w:top w:w="0" w:type="dxa"/>
              <w:left w:w="0" w:type="dxa"/>
              <w:bottom w:w="0" w:type="dxa"/>
              <w:right w:w="0" w:type="dxa"/>
            </w:tcMar>
            <w:vAlign w:val="bottom"/>
          </w:tcPr>
          <w:p w14:paraId="39371E95" w14:textId="77777777" w:rsidR="003977E3" w:rsidRDefault="003977E3">
            <w:pPr>
              <w:keepNext/>
            </w:pPr>
          </w:p>
        </w:tc>
        <w:tc>
          <w:tcPr>
            <w:tcW w:w="2880" w:type="dxa"/>
            <w:tcBorders>
              <w:top w:val="nil"/>
              <w:left w:val="nil"/>
              <w:bottom w:val="nil"/>
              <w:right w:val="nil"/>
            </w:tcBorders>
            <w:tcMar>
              <w:top w:w="0" w:type="dxa"/>
              <w:left w:w="0" w:type="dxa"/>
              <w:bottom w:w="0" w:type="dxa"/>
              <w:right w:w="0" w:type="dxa"/>
            </w:tcMar>
            <w:vAlign w:val="bottom"/>
          </w:tcPr>
          <w:p w14:paraId="129D17CB" w14:textId="77777777" w:rsidR="003977E3" w:rsidRDefault="003977E3">
            <w:pPr>
              <w:keepNext/>
            </w:pPr>
          </w:p>
        </w:tc>
        <w:tc>
          <w:tcPr>
            <w:tcW w:w="3315" w:type="dxa"/>
            <w:tcBorders>
              <w:top w:val="nil"/>
              <w:left w:val="nil"/>
              <w:bottom w:val="nil"/>
              <w:right w:val="nil"/>
            </w:tcBorders>
            <w:tcMar>
              <w:top w:w="0" w:type="dxa"/>
              <w:left w:w="0" w:type="dxa"/>
              <w:bottom w:w="0" w:type="dxa"/>
              <w:right w:w="53" w:type="dxa"/>
            </w:tcMar>
            <w:vAlign w:val="bottom"/>
          </w:tcPr>
          <w:p w14:paraId="2FA67C2C" w14:textId="77777777" w:rsidR="003977E3" w:rsidRDefault="00000000">
            <w:pPr>
              <w:keepNext/>
              <w:spacing w:before="53" w:after="30"/>
              <w:jc w:val="right"/>
            </w:pPr>
            <w:r>
              <w:rPr>
                <w:b/>
                <w:color w:val="000000"/>
                <w:sz w:val="20"/>
              </w:rPr>
              <w:t>MEDIA CONTACT</w:t>
            </w:r>
          </w:p>
        </w:tc>
      </w:tr>
      <w:tr w:rsidR="003977E3" w14:paraId="225DC358" w14:textId="77777777">
        <w:trPr>
          <w:cantSplit/>
          <w:trHeight w:hRule="exact" w:val="255"/>
          <w:jc w:val="center"/>
        </w:trPr>
        <w:tc>
          <w:tcPr>
            <w:tcW w:w="3165" w:type="dxa"/>
            <w:tcBorders>
              <w:top w:val="nil"/>
              <w:left w:val="nil"/>
              <w:bottom w:val="nil"/>
              <w:right w:val="nil"/>
            </w:tcBorders>
            <w:tcMar>
              <w:top w:w="0" w:type="dxa"/>
              <w:left w:w="0" w:type="dxa"/>
              <w:bottom w:w="0" w:type="dxa"/>
              <w:right w:w="0" w:type="dxa"/>
            </w:tcMar>
            <w:vAlign w:val="bottom"/>
          </w:tcPr>
          <w:p w14:paraId="287459C9" w14:textId="77777777" w:rsidR="003977E3" w:rsidRDefault="003977E3">
            <w:pPr>
              <w:keepNext/>
            </w:pPr>
          </w:p>
        </w:tc>
        <w:tc>
          <w:tcPr>
            <w:tcW w:w="2880" w:type="dxa"/>
            <w:tcBorders>
              <w:top w:val="nil"/>
              <w:left w:val="nil"/>
              <w:bottom w:val="nil"/>
              <w:right w:val="nil"/>
            </w:tcBorders>
            <w:tcMar>
              <w:top w:w="0" w:type="dxa"/>
              <w:left w:w="0" w:type="dxa"/>
              <w:bottom w:w="0" w:type="dxa"/>
              <w:right w:w="0" w:type="dxa"/>
            </w:tcMar>
            <w:vAlign w:val="bottom"/>
          </w:tcPr>
          <w:p w14:paraId="12A54BFD" w14:textId="77777777" w:rsidR="003977E3" w:rsidRDefault="003977E3">
            <w:pPr>
              <w:keepNext/>
            </w:pPr>
          </w:p>
        </w:tc>
        <w:tc>
          <w:tcPr>
            <w:tcW w:w="3315" w:type="dxa"/>
            <w:tcBorders>
              <w:top w:val="nil"/>
              <w:left w:val="nil"/>
              <w:bottom w:val="nil"/>
              <w:right w:val="nil"/>
            </w:tcBorders>
            <w:tcMar>
              <w:top w:w="0" w:type="dxa"/>
              <w:left w:w="0" w:type="dxa"/>
              <w:bottom w:w="0" w:type="dxa"/>
              <w:right w:w="53" w:type="dxa"/>
            </w:tcMar>
            <w:vAlign w:val="bottom"/>
          </w:tcPr>
          <w:p w14:paraId="6A60E5D3" w14:textId="77777777" w:rsidR="003977E3" w:rsidRDefault="00000000">
            <w:pPr>
              <w:keepNext/>
              <w:spacing w:before="53" w:after="30"/>
              <w:jc w:val="right"/>
            </w:pPr>
            <w:r>
              <w:rPr>
                <w:color w:val="000000"/>
                <w:sz w:val="20"/>
              </w:rPr>
              <w:t>Julia Monter, 469.399.8425</w:t>
            </w:r>
          </w:p>
        </w:tc>
      </w:tr>
      <w:tr w:rsidR="003977E3" w14:paraId="0B7FB5E0" w14:textId="77777777">
        <w:trPr>
          <w:cantSplit/>
          <w:trHeight w:hRule="exact" w:val="255"/>
          <w:jc w:val="center"/>
        </w:trPr>
        <w:tc>
          <w:tcPr>
            <w:tcW w:w="3165" w:type="dxa"/>
            <w:tcBorders>
              <w:top w:val="nil"/>
              <w:left w:val="nil"/>
              <w:bottom w:val="nil"/>
              <w:right w:val="nil"/>
            </w:tcBorders>
            <w:tcMar>
              <w:top w:w="0" w:type="dxa"/>
              <w:left w:w="0" w:type="dxa"/>
              <w:bottom w:w="0" w:type="dxa"/>
              <w:right w:w="0" w:type="dxa"/>
            </w:tcMar>
            <w:vAlign w:val="bottom"/>
          </w:tcPr>
          <w:p w14:paraId="021BCBD5" w14:textId="77777777" w:rsidR="003977E3" w:rsidRDefault="003977E3"/>
        </w:tc>
        <w:tc>
          <w:tcPr>
            <w:tcW w:w="2880" w:type="dxa"/>
            <w:tcBorders>
              <w:top w:val="nil"/>
              <w:left w:val="nil"/>
              <w:bottom w:val="nil"/>
              <w:right w:val="nil"/>
            </w:tcBorders>
            <w:tcMar>
              <w:top w:w="0" w:type="dxa"/>
              <w:left w:w="0" w:type="dxa"/>
              <w:bottom w:w="0" w:type="dxa"/>
              <w:right w:w="0" w:type="dxa"/>
            </w:tcMar>
            <w:vAlign w:val="bottom"/>
          </w:tcPr>
          <w:p w14:paraId="7F675B14" w14:textId="77777777" w:rsidR="003977E3" w:rsidRDefault="003977E3"/>
        </w:tc>
        <w:tc>
          <w:tcPr>
            <w:tcW w:w="3315" w:type="dxa"/>
            <w:tcBorders>
              <w:top w:val="nil"/>
              <w:left w:val="nil"/>
              <w:bottom w:val="nil"/>
              <w:right w:val="nil"/>
            </w:tcBorders>
            <w:tcMar>
              <w:top w:w="0" w:type="dxa"/>
              <w:left w:w="0" w:type="dxa"/>
              <w:bottom w:w="0" w:type="dxa"/>
              <w:right w:w="53" w:type="dxa"/>
            </w:tcMar>
            <w:vAlign w:val="bottom"/>
          </w:tcPr>
          <w:p w14:paraId="3B1E1105" w14:textId="77777777" w:rsidR="003977E3" w:rsidRDefault="00000000">
            <w:pPr>
              <w:spacing w:before="53" w:after="30"/>
              <w:jc w:val="right"/>
            </w:pPr>
            <w:r>
              <w:rPr>
                <w:color w:val="0000FF"/>
                <w:sz w:val="20"/>
                <w:u w:val="single"/>
              </w:rPr>
              <w:t>julia.monter@texascapitalbank.com</w:t>
            </w:r>
          </w:p>
        </w:tc>
      </w:tr>
    </w:tbl>
    <w:p w14:paraId="3D7109AC" w14:textId="77777777" w:rsidR="003977E3" w:rsidRDefault="003977E3">
      <w:pPr>
        <w:spacing w:before="160" w:line="288" w:lineRule="auto"/>
        <w:rPr>
          <w:b/>
          <w:sz w:val="20"/>
        </w:rPr>
      </w:pPr>
    </w:p>
    <w:p w14:paraId="348CE746" w14:textId="77777777" w:rsidR="003977E3" w:rsidRPr="00B91B60" w:rsidRDefault="00000000">
      <w:pPr>
        <w:spacing w:before="160" w:line="288" w:lineRule="auto"/>
        <w:jc w:val="center"/>
        <w:outlineLvl w:val="0"/>
        <w:rPr>
          <w:b/>
          <w:szCs w:val="32"/>
        </w:rPr>
      </w:pPr>
      <w:r w:rsidRPr="00B91B60">
        <w:rPr>
          <w:b/>
          <w:szCs w:val="32"/>
        </w:rPr>
        <w:t>TEXAS CAPITAL BANCSHARES, INC. ANNOUNCES QUARTERLY</w:t>
      </w:r>
    </w:p>
    <w:p w14:paraId="1C912F77" w14:textId="77777777" w:rsidR="003977E3" w:rsidRPr="00B91B60" w:rsidRDefault="00000000">
      <w:pPr>
        <w:spacing w:line="288" w:lineRule="auto"/>
        <w:jc w:val="center"/>
        <w:rPr>
          <w:b/>
          <w:szCs w:val="32"/>
        </w:rPr>
      </w:pPr>
      <w:r w:rsidRPr="00B91B60">
        <w:rPr>
          <w:b/>
          <w:szCs w:val="32"/>
        </w:rPr>
        <w:t>DIVIDEND FOR PREFERRED STOCK</w:t>
      </w:r>
    </w:p>
    <w:p w14:paraId="08D6A334" w14:textId="77777777" w:rsidR="003977E3" w:rsidRDefault="003977E3">
      <w:pPr>
        <w:spacing w:before="160" w:line="288" w:lineRule="auto"/>
        <w:jc w:val="both"/>
        <w:rPr>
          <w:b/>
          <w:i/>
          <w:sz w:val="20"/>
        </w:rPr>
      </w:pPr>
    </w:p>
    <w:p w14:paraId="2D3FB37F" w14:textId="58BE79BF" w:rsidR="003977E3" w:rsidRPr="00B91B60" w:rsidRDefault="00000000" w:rsidP="00B91B60">
      <w:pPr>
        <w:pStyle w:val="BodyText"/>
        <w:kinsoku w:val="0"/>
        <w:overflowPunct w:val="0"/>
        <w:spacing w:after="0"/>
        <w:ind w:left="288" w:right="99"/>
      </w:pPr>
      <w:r w:rsidRPr="00B91B60">
        <w:t>DALLAS - January 2</w:t>
      </w:r>
      <w:r w:rsidR="00B91B60" w:rsidRPr="00B91B60">
        <w:t>7</w:t>
      </w:r>
      <w:r w:rsidRPr="00B91B60">
        <w:t>, 2025 - Texas Capital Bancshares, Inc. (NASDAQ: TCBI), the parent company of Texas Capital Bank, and its board of directors declared a cash dividend of $14.375 per share of the 5.75% Fixed Rate Non-Cumulative Perpetual Preferred Stock, Series B (the “Series B Preferred Stock”), equivalent to $0.359375 per depositary share, each representing a 1/40th interest in a share of the Series B Preferred Stock. The depositary shares are traded on the NASDAQ under the symbol “TCBIO.” The Series B Preferred Stock dividend is payable on March 17, 2025, to holders of record at the close of business on March 3, 2025.</w:t>
      </w:r>
    </w:p>
    <w:p w14:paraId="7FD5CC0D" w14:textId="77777777" w:rsidR="003977E3" w:rsidRDefault="003977E3">
      <w:pPr>
        <w:spacing w:before="160" w:line="288" w:lineRule="auto"/>
        <w:jc w:val="both"/>
        <w:rPr>
          <w:sz w:val="20"/>
        </w:rPr>
      </w:pPr>
    </w:p>
    <w:p w14:paraId="484835E1" w14:textId="77777777" w:rsidR="00B91B60" w:rsidRPr="00DB61A6" w:rsidRDefault="00B91B60" w:rsidP="00B91B60">
      <w:pPr>
        <w:pStyle w:val="BodyText"/>
        <w:kinsoku w:val="0"/>
        <w:overflowPunct w:val="0"/>
        <w:spacing w:after="0" w:line="215" w:lineRule="exact"/>
        <w:ind w:left="288"/>
        <w:jc w:val="both"/>
        <w:rPr>
          <w:b/>
          <w:bCs/>
        </w:rPr>
      </w:pPr>
      <w:r w:rsidRPr="00DB61A6">
        <w:rPr>
          <w:b/>
          <w:bCs/>
        </w:rPr>
        <w:t>ABOUT TEXAS CAPITAL BANCSHARES, INC.</w:t>
      </w:r>
    </w:p>
    <w:p w14:paraId="1547DA5F" w14:textId="77777777" w:rsidR="00B91B60" w:rsidRDefault="00B91B60" w:rsidP="00B91B60">
      <w:pPr>
        <w:pStyle w:val="BodyText"/>
        <w:kinsoku w:val="0"/>
        <w:overflowPunct w:val="0"/>
        <w:spacing w:after="0"/>
        <w:ind w:left="288" w:right="98"/>
      </w:pPr>
      <w:r w:rsidRPr="009E6273">
        <w:t>Texas Capital Bancshares, Inc. (NASDAQ®: TCBI), a member of the Russell 2000® Index and the S&amp;P MidCap 400®, is the parent company of Texas Capital Bank (“TCB”). Texas Capital is the collective brand name for TCB and its separate, non-bank affiliates and wholly-owned subsidiaries. Texas Capital is a full-service financial services firm that delivers customized solutions to businesses, entrepreneurs and individual customers. Founded in 1998, the institution is headquartered in Dallas with offices in Austin, Houston, San Antonio and Fort Worth, and has built a network of clients across the country. With the ability to service clients through their entire lifecycles, Texas Capital has established commercial banking, consumer banking, investment banking and wealth management capabilities. All services are subject to applicable laws, regulations, and service terms. Deposit and lending products and services are offered by TCB. For deposit products, member FDIC. For more information, please visit </w:t>
      </w:r>
      <w:hyperlink r:id="rId8" w:tgtFrame="_blank" w:tooltip="https://www.globenewswire.com/tracker?data=ovwtajtswsqma9catuheqxainbmgzmrobxteycw3ppp_kkihuts8gyyyyyuvg8-evnbthmkvi7ircz1_j-hbfrw5bf6xmy5l176ryqoqb-q=" w:history="1">
        <w:r w:rsidRPr="009E6273">
          <w:rPr>
            <w:rStyle w:val="Hyperlink"/>
          </w:rPr>
          <w:t>www.texascapital.com</w:t>
        </w:r>
      </w:hyperlink>
      <w:r w:rsidRPr="009E6273">
        <w:t>.</w:t>
      </w:r>
      <w:r>
        <w:tab/>
      </w:r>
    </w:p>
    <w:p w14:paraId="385B2A37" w14:textId="77777777" w:rsidR="003977E3" w:rsidRDefault="003977E3">
      <w:pPr>
        <w:spacing w:before="160" w:line="288" w:lineRule="auto"/>
        <w:rPr>
          <w:sz w:val="20"/>
        </w:rPr>
      </w:pPr>
    </w:p>
    <w:p w14:paraId="1C6F5C5F" w14:textId="77777777" w:rsidR="003977E3" w:rsidRDefault="00000000">
      <w:pPr>
        <w:spacing w:before="160" w:line="288" w:lineRule="auto"/>
        <w:jc w:val="center"/>
      </w:pPr>
      <w:r>
        <w:t>###</w:t>
      </w:r>
    </w:p>
    <w:sectPr w:rsidR="003977E3">
      <w:headerReference w:type="even" r:id="rId9"/>
      <w:headerReference w:type="default" r:id="rId10"/>
      <w:footerReference w:type="default" r:id="rId11"/>
      <w:headerReference w:type="first" r:id="rId12"/>
      <w:type w:val="continuous"/>
      <w:pgSz w:w="12240" w:h="15840"/>
      <w:pgMar w:top="449"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3825" w14:textId="77777777" w:rsidR="00606B3B" w:rsidRDefault="00606B3B">
      <w:r>
        <w:separator/>
      </w:r>
    </w:p>
  </w:endnote>
  <w:endnote w:type="continuationSeparator" w:id="0">
    <w:p w14:paraId="0A2166F9" w14:textId="77777777" w:rsidR="00606B3B" w:rsidRDefault="0060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39D8" w14:textId="77777777" w:rsidR="003977E3" w:rsidRDefault="003977E3">
    <w:pPr>
      <w:spacing w:line="288" w:lineRule="auto"/>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BDCC" w14:textId="77777777" w:rsidR="00606B3B" w:rsidRDefault="00606B3B">
      <w:r>
        <w:separator/>
      </w:r>
    </w:p>
  </w:footnote>
  <w:footnote w:type="continuationSeparator" w:id="0">
    <w:p w14:paraId="0CF65446" w14:textId="77777777" w:rsidR="00606B3B" w:rsidRDefault="00606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AF31" w14:textId="77777777" w:rsidR="00B91B60" w:rsidRDefault="00B91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5728" w14:textId="77777777" w:rsidR="003977E3" w:rsidRDefault="003977E3">
    <w:pPr>
      <w:spacing w:line="288" w:lineRule="auto"/>
      <w:rPr>
        <w:rFonts w:ascii="Arial" w:eastAsia="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9BAA" w14:textId="77777777" w:rsidR="00B91B60" w:rsidRDefault="00B9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num w:numId="1" w16cid:durableId="391121622">
    <w:abstractNumId w:val="0"/>
  </w:num>
  <w:num w:numId="2" w16cid:durableId="647899167">
    <w:abstractNumId w:val="1"/>
  </w:num>
  <w:num w:numId="3" w16cid:durableId="864246302">
    <w:abstractNumId w:val="2"/>
  </w:num>
  <w:num w:numId="4" w16cid:durableId="609119463">
    <w:abstractNumId w:val="3"/>
  </w:num>
  <w:num w:numId="5" w16cid:durableId="1792355447">
    <w:abstractNumId w:val="4"/>
  </w:num>
  <w:num w:numId="6" w16cid:durableId="1303849987">
    <w:abstractNumId w:val="5"/>
  </w:num>
  <w:num w:numId="7" w16cid:durableId="1472097387">
    <w:abstractNumId w:val="6"/>
  </w:num>
  <w:num w:numId="8" w16cid:durableId="1870869712">
    <w:abstractNumId w:val="7"/>
  </w:num>
  <w:num w:numId="9" w16cid:durableId="915819152">
    <w:abstractNumId w:val="8"/>
  </w:num>
  <w:num w:numId="10" w16cid:durableId="862670416">
    <w:abstractNumId w:val="9"/>
  </w:num>
  <w:num w:numId="11" w16cid:durableId="1118373871">
    <w:abstractNumId w:val="10"/>
  </w:num>
  <w:num w:numId="12" w16cid:durableId="216551275">
    <w:abstractNumId w:val="11"/>
  </w:num>
  <w:num w:numId="13" w16cid:durableId="1050837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977E3"/>
    <w:rsid w:val="00606B3B"/>
    <w:rsid w:val="00923B34"/>
    <w:rsid w:val="00A77B3E"/>
    <w:rsid w:val="00B91B60"/>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7C77D"/>
  <w15:docId w15:val="{8135A29E-1E52-45A3-AC41-3E949942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 w:type="character" w:styleId="Hyperlink">
    <w:name w:val="Hyperlink"/>
    <w:basedOn w:val="DefaultParagraphFont"/>
    <w:uiPriority w:val="99"/>
    <w:unhideWhenUsed/>
    <w:rsid w:val="00B91B60"/>
    <w:rPr>
      <w:color w:val="0000FF" w:themeColor="hyperlink"/>
      <w:u w:val="single"/>
    </w:rPr>
  </w:style>
  <w:style w:type="paragraph" w:styleId="BodyText">
    <w:name w:val="Body Text"/>
    <w:basedOn w:val="Normal"/>
    <w:link w:val="BodyTextChar"/>
    <w:rsid w:val="00B91B60"/>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B91B60"/>
    <w:rPr>
      <w:rFonts w:eastAsia="Lucida Sans Unicode"/>
      <w:kern w:val="1"/>
      <w:sz w:val="24"/>
      <w:szCs w:val="24"/>
    </w:rPr>
  </w:style>
  <w:style w:type="paragraph" w:styleId="Header">
    <w:name w:val="header"/>
    <w:basedOn w:val="Normal"/>
    <w:link w:val="HeaderChar"/>
    <w:rsid w:val="00B91B60"/>
    <w:pPr>
      <w:tabs>
        <w:tab w:val="center" w:pos="4680"/>
        <w:tab w:val="right" w:pos="9360"/>
      </w:tabs>
    </w:pPr>
  </w:style>
  <w:style w:type="character" w:customStyle="1" w:styleId="HeaderChar">
    <w:name w:val="Header Char"/>
    <w:basedOn w:val="DefaultParagraphFont"/>
    <w:link w:val="Header"/>
    <w:rsid w:val="00B91B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lobenewswire.com/Tracker?data=OVwtAjtswsqMA9CatUHeqxaINbMGzMrObXTEYcW3Ppp_kKIHUts8GYYyYyUVG8-EvNbthmkvi7iRcZ1_J-HbFrW5Bf6XMy5l176ryQoQb-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2025 Preferred Dividend Announcement</dc:title>
  <dc:creator>Perotti, Gardiner</dc:creator>
  <cp:lastModifiedBy>Perotti, Gardiner</cp:lastModifiedBy>
  <cp:revision>2</cp:revision>
  <dcterms:created xsi:type="dcterms:W3CDTF">2025-01-27T19:27:00Z</dcterms:created>
  <dcterms:modified xsi:type="dcterms:W3CDTF">2025-01-27T19:27:00Z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4a61ff-ba09-4370-aa17-41f102403ae2_Enabled">
    <vt:lpwstr>true</vt:lpwstr>
  </property>
  <property fmtid="{D5CDD505-2E9C-101B-9397-08002B2CF9AE}" pid="3" name="MSIP_Label_9b4a61ff-ba09-4370-aa17-41f102403ae2_SetDate">
    <vt:lpwstr>2025-01-27T19:27:33Z</vt:lpwstr>
  </property>
  <property fmtid="{D5CDD505-2E9C-101B-9397-08002B2CF9AE}" pid="4" name="MSIP_Label_9b4a61ff-ba09-4370-aa17-41f102403ae2_Method">
    <vt:lpwstr>Standard</vt:lpwstr>
  </property>
  <property fmtid="{D5CDD505-2E9C-101B-9397-08002B2CF9AE}" pid="5" name="MSIP_Label_9b4a61ff-ba09-4370-aa17-41f102403ae2_Name">
    <vt:lpwstr>Confidential</vt:lpwstr>
  </property>
  <property fmtid="{D5CDD505-2E9C-101B-9397-08002B2CF9AE}" pid="6" name="MSIP_Label_9b4a61ff-ba09-4370-aa17-41f102403ae2_SiteId">
    <vt:lpwstr>44c836a6-9e22-4b8a-8176-7782ca29fb1c</vt:lpwstr>
  </property>
  <property fmtid="{D5CDD505-2E9C-101B-9397-08002B2CF9AE}" pid="7" name="MSIP_Label_9b4a61ff-ba09-4370-aa17-41f102403ae2_ActionId">
    <vt:lpwstr>8b9e48dd-68d0-495d-9766-c0abd65df15c</vt:lpwstr>
  </property>
  <property fmtid="{D5CDD505-2E9C-101B-9397-08002B2CF9AE}" pid="8" name="MSIP_Label_9b4a61ff-ba09-4370-aa17-41f102403ae2_ContentBits">
    <vt:lpwstr>1</vt:lpwstr>
  </property>
</Properties>
</file>