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19B4" w14:textId="77777777" w:rsidR="00C74FE3" w:rsidRPr="002B795A" w:rsidRDefault="00C74FE3" w:rsidP="00C74FE3">
      <w:pPr>
        <w:pStyle w:val="BodyText"/>
        <w:spacing w:after="0"/>
        <w:jc w:val="center"/>
        <w:rPr>
          <w:b/>
          <w:bCs/>
        </w:rPr>
      </w:pPr>
      <w:r w:rsidRPr="002B795A">
        <w:rPr>
          <w:b/>
          <w:bCs/>
        </w:rPr>
        <w:t>CHARTER OF THE</w:t>
      </w:r>
    </w:p>
    <w:p w14:paraId="0C65F020" w14:textId="33762D1D" w:rsidR="00C74FE3" w:rsidRPr="002B795A" w:rsidRDefault="00C74FE3" w:rsidP="00C74FE3">
      <w:pPr>
        <w:pStyle w:val="BodyText"/>
        <w:spacing w:after="0"/>
        <w:jc w:val="center"/>
        <w:rPr>
          <w:b/>
          <w:bCs/>
        </w:rPr>
      </w:pPr>
      <w:r w:rsidRPr="002B795A">
        <w:rPr>
          <w:b/>
          <w:bCs/>
        </w:rPr>
        <w:t>COMPENSATION &amp; HUMAN CAPITAL COMMITTEE</w:t>
      </w:r>
    </w:p>
    <w:p w14:paraId="3DB9AD3A" w14:textId="77777777" w:rsidR="00C74FE3" w:rsidRPr="002B795A" w:rsidRDefault="00C74FE3" w:rsidP="00C74FE3">
      <w:pPr>
        <w:pStyle w:val="BodyText"/>
        <w:spacing w:after="0"/>
        <w:jc w:val="center"/>
        <w:rPr>
          <w:b/>
          <w:bCs/>
        </w:rPr>
      </w:pPr>
      <w:r w:rsidRPr="002B795A">
        <w:rPr>
          <w:b/>
          <w:bCs/>
        </w:rPr>
        <w:t>OF THE BOARD OF DIRECTORS</w:t>
      </w:r>
    </w:p>
    <w:p w14:paraId="17376D5A" w14:textId="77777777" w:rsidR="00C74FE3" w:rsidRPr="00C74FE3" w:rsidRDefault="00C74FE3" w:rsidP="00C74FE3">
      <w:pPr>
        <w:pStyle w:val="BodyText"/>
        <w:spacing w:after="0"/>
      </w:pPr>
    </w:p>
    <w:p w14:paraId="446AE305" w14:textId="77777777" w:rsidR="00C74FE3" w:rsidRPr="00C74FE3" w:rsidRDefault="00C74FE3" w:rsidP="00C74FE3">
      <w:pPr>
        <w:pStyle w:val="BodyText"/>
        <w:spacing w:after="0"/>
      </w:pPr>
      <w:r w:rsidRPr="00C74FE3">
        <w:rPr>
          <w:b/>
          <w:bCs/>
        </w:rPr>
        <w:t>PURPOSES:</w:t>
      </w:r>
      <w:r w:rsidRPr="00C74FE3">
        <w:t xml:space="preserve"> The purposes of the Compensation &amp; Human Capital Committee (the “Committee”) of the Board of Directors (the “Board”) of Church &amp; Dwight Co., Inc. (the “Company”) shall be to:</w:t>
      </w:r>
    </w:p>
    <w:p w14:paraId="5394220A" w14:textId="77777777" w:rsidR="00C74FE3" w:rsidRPr="00C74FE3" w:rsidRDefault="00C74FE3" w:rsidP="00C74FE3">
      <w:pPr>
        <w:pStyle w:val="BodyText"/>
        <w:spacing w:after="0"/>
      </w:pPr>
    </w:p>
    <w:p w14:paraId="5A257CA3" w14:textId="00EBC50E" w:rsidR="002B795A" w:rsidRDefault="002B795A" w:rsidP="002B795A">
      <w:pPr>
        <w:pStyle w:val="BodyText"/>
        <w:numPr>
          <w:ilvl w:val="0"/>
          <w:numId w:val="17"/>
        </w:numPr>
        <w:spacing w:after="0"/>
        <w:ind w:left="1080" w:hanging="720"/>
      </w:pPr>
      <w:r w:rsidRPr="00C74FE3">
        <w:t xml:space="preserve">Adopt and implement an effective total compensation program that supports the achievement of the overall goals of the Company by attracting, retaining and motivating talented executive </w:t>
      </w:r>
      <w:proofErr w:type="gramStart"/>
      <w:r w:rsidRPr="00C74FE3">
        <w:t>management;</w:t>
      </w:r>
      <w:proofErr w:type="gramEnd"/>
    </w:p>
    <w:p w14:paraId="6B2B61D0" w14:textId="77777777" w:rsidR="002B795A" w:rsidRDefault="002B795A" w:rsidP="002B795A">
      <w:pPr>
        <w:pStyle w:val="BodyText"/>
        <w:spacing w:after="0"/>
        <w:ind w:left="1080"/>
      </w:pPr>
    </w:p>
    <w:p w14:paraId="7A545847" w14:textId="6DCDDF3B" w:rsidR="002B795A" w:rsidRDefault="002B795A" w:rsidP="002B795A">
      <w:pPr>
        <w:pStyle w:val="BodyText"/>
        <w:numPr>
          <w:ilvl w:val="0"/>
          <w:numId w:val="17"/>
        </w:numPr>
        <w:spacing w:after="0"/>
        <w:ind w:left="1080" w:hanging="720"/>
      </w:pPr>
      <w:r w:rsidRPr="00C74FE3">
        <w:t>Review and approve disclosure concerning executive compensation for inclusion in the Company’s annual proxy statement in accordance with the rules and regulations of the Securities and Exchange Commission (the “SEC”)</w:t>
      </w:r>
      <w:r w:rsidR="003571F3">
        <w:t>; and</w:t>
      </w:r>
    </w:p>
    <w:p w14:paraId="10CB9568" w14:textId="77777777" w:rsidR="002B795A" w:rsidRDefault="002B795A" w:rsidP="002B795A">
      <w:pPr>
        <w:pStyle w:val="BodyText"/>
        <w:spacing w:after="0"/>
      </w:pPr>
    </w:p>
    <w:p w14:paraId="6D2F62C3" w14:textId="3971903C" w:rsidR="002B795A" w:rsidRPr="00C74FE3" w:rsidRDefault="002B795A" w:rsidP="002B795A">
      <w:pPr>
        <w:pStyle w:val="BodyText"/>
        <w:numPr>
          <w:ilvl w:val="0"/>
          <w:numId w:val="17"/>
        </w:numPr>
        <w:spacing w:after="0"/>
        <w:ind w:left="1080" w:hanging="720"/>
      </w:pPr>
      <w:r w:rsidRPr="00C74FE3">
        <w:t>Assist the Board in its oversight of the development, implementation, and effectiveness of the Company’s policies and strategies related to its human capital management function, which may include, but are not limited to, those policies and strategies regarding the attraction, development, and retention of Company personnel,  workplace environment and culture, and internal communications programs.</w:t>
      </w:r>
    </w:p>
    <w:p w14:paraId="4A1FF77F" w14:textId="1035E8AB" w:rsidR="002B795A" w:rsidRPr="00C74FE3" w:rsidRDefault="002B795A">
      <w:pPr>
        <w:pStyle w:val="BodyText"/>
        <w:spacing w:after="0"/>
        <w:rPr>
          <w:b/>
          <w:bCs/>
        </w:rPr>
      </w:pPr>
    </w:p>
    <w:p w14:paraId="2F0EF0DE" w14:textId="77777777" w:rsidR="00C74FE3" w:rsidRPr="00C74FE3" w:rsidRDefault="00C74FE3" w:rsidP="00C74FE3">
      <w:pPr>
        <w:pStyle w:val="BodyText"/>
        <w:spacing w:after="0"/>
      </w:pPr>
      <w:r w:rsidRPr="00C74FE3">
        <w:rPr>
          <w:b/>
          <w:bCs/>
        </w:rPr>
        <w:t>MEMBERSHIP:</w:t>
      </w:r>
      <w:r w:rsidRPr="00C74FE3">
        <w:t xml:space="preserve"> The Committee shall consist of three or more members of the Board. The Board shall appoint the Committee members and shall designate a Chairperson of the Committee based on recommendations from the Governance, Nominating &amp; Corporate Responsibility Committee.</w:t>
      </w:r>
    </w:p>
    <w:p w14:paraId="6B3B41D3" w14:textId="77777777" w:rsidR="00C74FE3" w:rsidRPr="00C74FE3" w:rsidRDefault="00C74FE3" w:rsidP="00C74FE3">
      <w:pPr>
        <w:pStyle w:val="BodyText"/>
        <w:spacing w:after="0"/>
      </w:pPr>
    </w:p>
    <w:p w14:paraId="5B5918F0" w14:textId="77777777" w:rsidR="00C74FE3" w:rsidRPr="00C74FE3" w:rsidRDefault="00C74FE3" w:rsidP="00C74FE3">
      <w:pPr>
        <w:pStyle w:val="BodyText"/>
        <w:spacing w:after="0"/>
      </w:pPr>
      <w:r w:rsidRPr="00C74FE3">
        <w:t>The Committee shall be composed entirely of “independent directors.” For purposes of this Charter, a director shall be deemed “independent” if he or she qualifies as (1) independent in accordance with the rules of the New York Stock Exchange (the “NYSE”), and (2) a “non-employee director” in accordance with Rule 16b-3 under the Securities Exchange Act of 1934, as amended (the “Exchange Act”).</w:t>
      </w:r>
    </w:p>
    <w:p w14:paraId="041E8E93" w14:textId="77777777" w:rsidR="00C74FE3" w:rsidRPr="00C74FE3" w:rsidRDefault="00C74FE3" w:rsidP="00C74FE3">
      <w:pPr>
        <w:pStyle w:val="BodyText"/>
        <w:spacing w:after="0"/>
      </w:pPr>
    </w:p>
    <w:p w14:paraId="235059A6" w14:textId="77777777" w:rsidR="00C74FE3" w:rsidRPr="004B5C5F" w:rsidRDefault="00C74FE3" w:rsidP="00C74FE3">
      <w:pPr>
        <w:pStyle w:val="BodyText"/>
        <w:spacing w:after="0"/>
      </w:pPr>
      <w:r w:rsidRPr="00C74FE3">
        <w:t xml:space="preserve">The members of the Committee shall serve until their resignation, retirement or removal or until their successors shall be appointed. No member of the Committee shall be removed except by </w:t>
      </w:r>
      <w:r w:rsidRPr="004B5C5F">
        <w:t>majority vote of the independent directors of the Board then in office.</w:t>
      </w:r>
    </w:p>
    <w:p w14:paraId="5C8BEA47" w14:textId="77777777" w:rsidR="00C74FE3" w:rsidRPr="004B5C5F" w:rsidRDefault="00C74FE3" w:rsidP="00C74FE3">
      <w:pPr>
        <w:pStyle w:val="BodyText"/>
        <w:spacing w:after="0"/>
      </w:pPr>
    </w:p>
    <w:p w14:paraId="7EA78FBD" w14:textId="05C0D994" w:rsidR="00C74FE3" w:rsidRPr="00C74FE3" w:rsidRDefault="00C74FE3" w:rsidP="00C74FE3">
      <w:pPr>
        <w:pStyle w:val="BodyText"/>
        <w:spacing w:after="0"/>
      </w:pPr>
      <w:r w:rsidRPr="004B5C5F">
        <w:rPr>
          <w:b/>
          <w:bCs/>
        </w:rPr>
        <w:t xml:space="preserve">MEETINGS AND PROCEDURES: </w:t>
      </w:r>
      <w:r w:rsidRPr="004B5C5F">
        <w:t>The Committee shall hold no less than four regularly scheduled meetings each year, and such other meetings from time to time as the Committee may deem necessary or appropriate, at such times and places as it deems necessary to fulfill its responsibilities. The Chairperson of the Committee or a majority of Committee members may call a special meeting of the Committee. A majority of the Committee members shall be present to constitute a quorum of the Committee. Where a quorum is present, a majority of the members in attendance shall decide any question brought before any meeting of the Committee. The Committee may meet in person or by telephone conference</w:t>
      </w:r>
      <w:r w:rsidR="006771D2">
        <w:t xml:space="preserve"> call including, without limitation, by virtual meeting</w:t>
      </w:r>
      <w:r w:rsidRPr="004B5C5F">
        <w:t xml:space="preserve"> and may act by unanimous written consent. The Committee will maintain </w:t>
      </w:r>
      <w:r w:rsidRPr="004B5C5F">
        <w:lastRenderedPageBreak/>
        <w:t>minutes of meetings, report regularly to the Board on the Committee’s activities and make recommendations to the Board as appropriate. The Committee shall encourage</w:t>
      </w:r>
      <w:r w:rsidRPr="00C74FE3">
        <w:t xml:space="preserve"> free and open communication with the Board, any professional advisors it retains, the internal human resources professionals of the Company, the Chief Executive Officer and other officers and employees as may be necessary in the normal course of business.</w:t>
      </w:r>
    </w:p>
    <w:p w14:paraId="7D423FB7" w14:textId="77777777" w:rsidR="00C74FE3" w:rsidRPr="00C74FE3" w:rsidRDefault="00C74FE3" w:rsidP="00C74FE3">
      <w:pPr>
        <w:pStyle w:val="BodyText"/>
        <w:spacing w:after="0"/>
      </w:pPr>
    </w:p>
    <w:p w14:paraId="71934BA2" w14:textId="77777777" w:rsidR="00C74FE3" w:rsidRPr="00C74FE3" w:rsidRDefault="00C74FE3" w:rsidP="00C74FE3">
      <w:pPr>
        <w:pStyle w:val="BodyText"/>
        <w:spacing w:after="0"/>
      </w:pPr>
      <w:r w:rsidRPr="00C74FE3">
        <w:t>The Committee may ask members of management or others to attend meetings and provide pertinent information as necessary; provided, however, that the Chief Executive Officer and any other officers shall not be present during voting or deliberations on their compensation.</w:t>
      </w:r>
    </w:p>
    <w:p w14:paraId="3AC9854E" w14:textId="77777777" w:rsidR="00C74FE3" w:rsidRPr="00C74FE3" w:rsidRDefault="00C74FE3" w:rsidP="00C74FE3">
      <w:pPr>
        <w:pStyle w:val="BodyText"/>
        <w:spacing w:after="0"/>
      </w:pPr>
    </w:p>
    <w:p w14:paraId="600BDA20" w14:textId="77777777" w:rsidR="00C74FE3" w:rsidRPr="00C74FE3" w:rsidRDefault="00C74FE3" w:rsidP="00C74FE3">
      <w:pPr>
        <w:pStyle w:val="BodyText"/>
        <w:spacing w:after="0"/>
      </w:pPr>
      <w:r w:rsidRPr="00C74FE3">
        <w:t>The Committee may adopt such other procedures as it deems appropriate and necessary to carry out its duties and responsibilities.</w:t>
      </w:r>
    </w:p>
    <w:p w14:paraId="41BBE0D5" w14:textId="77777777" w:rsidR="00C74FE3" w:rsidRPr="00C74FE3" w:rsidRDefault="00C74FE3" w:rsidP="00C74FE3">
      <w:pPr>
        <w:pStyle w:val="BodyText"/>
        <w:spacing w:after="0"/>
      </w:pPr>
    </w:p>
    <w:p w14:paraId="5FAD11BC" w14:textId="77777777" w:rsidR="00C74FE3" w:rsidRPr="00C74FE3" w:rsidRDefault="00C74FE3" w:rsidP="00C74FE3">
      <w:pPr>
        <w:pStyle w:val="BodyText"/>
        <w:spacing w:after="0"/>
      </w:pPr>
      <w:r w:rsidRPr="00C74FE3">
        <w:rPr>
          <w:b/>
          <w:bCs/>
        </w:rPr>
        <w:t>DELEGATION OF AUTHORITY:</w:t>
      </w:r>
      <w:r w:rsidRPr="00C74FE3">
        <w:t xml:space="preserve"> The Committee may, by resolution, delegate its responsibilities, along with the authority to take action in relation to such responsibilities, to its Chairperson or a sub-committee consisting of at least two Committee members, provided that no such delegation shall be permitted if the authority is required by law, rule, regulation or NYSE listing standard to be exercised by the Committee as a whole.</w:t>
      </w:r>
    </w:p>
    <w:p w14:paraId="0D8E48A5" w14:textId="77777777" w:rsidR="00C74FE3" w:rsidRPr="00C74FE3" w:rsidRDefault="00C74FE3" w:rsidP="00C74FE3">
      <w:pPr>
        <w:pStyle w:val="BodyText"/>
        <w:spacing w:after="0"/>
      </w:pPr>
    </w:p>
    <w:p w14:paraId="26859246" w14:textId="77777777" w:rsidR="00C74FE3" w:rsidRPr="00C74FE3" w:rsidRDefault="00C74FE3" w:rsidP="00C74FE3">
      <w:pPr>
        <w:pStyle w:val="BodyText"/>
        <w:spacing w:after="0"/>
      </w:pPr>
      <w:r w:rsidRPr="00C74FE3">
        <w:t>Subject to the preceding paragraph, the Committee may delegate to one or more executive officers the authority to make grants of equity-based compensation to eligible individuals (other than executive officers or directors). Any executive officer to whom the Committee grants such authority shall regularly report to the Committee grants so made and the Committee may revoke any delegation of authority at any time.</w:t>
      </w:r>
    </w:p>
    <w:p w14:paraId="6D4940F9" w14:textId="77777777" w:rsidR="00C74FE3" w:rsidRPr="00C74FE3" w:rsidRDefault="00C74FE3" w:rsidP="00C74FE3">
      <w:pPr>
        <w:pStyle w:val="BodyText"/>
        <w:spacing w:after="0"/>
      </w:pPr>
    </w:p>
    <w:p w14:paraId="2E4E7D7B" w14:textId="77777777" w:rsidR="00C74FE3" w:rsidRPr="00C74FE3" w:rsidRDefault="00C74FE3" w:rsidP="00C74FE3">
      <w:pPr>
        <w:pStyle w:val="BodyText"/>
        <w:spacing w:after="0"/>
      </w:pPr>
      <w:r w:rsidRPr="00C74FE3">
        <w:rPr>
          <w:b/>
          <w:bCs/>
        </w:rPr>
        <w:t>RETENTION OF ADVISERS:</w:t>
      </w:r>
      <w:r w:rsidRPr="00C74FE3">
        <w:t xml:space="preserve"> The Committee shall have the sole authority to select and retain, at the Company’s expense, and terminate compensation consultants, independent legal counsel and other advisers that the Committee deems necessary in the performance of its duties, including sole authority to approve the fees and other retention terms of any such advisers. The Committee shall be directly responsible for the appointment, compensation and oversight of the work of any compensation consultant, independent legal counsel and other adviser retained by the Committee; provided, however, that the foregoing shall not be construed:</w:t>
      </w:r>
    </w:p>
    <w:p w14:paraId="14309640" w14:textId="77777777" w:rsidR="00C74FE3" w:rsidRPr="00C74FE3" w:rsidRDefault="00C74FE3" w:rsidP="00C74FE3">
      <w:pPr>
        <w:pStyle w:val="BodyText"/>
        <w:spacing w:after="0"/>
      </w:pPr>
    </w:p>
    <w:p w14:paraId="4FE19068" w14:textId="77777777" w:rsidR="00C74FE3" w:rsidRDefault="00C74FE3" w:rsidP="00C74FE3">
      <w:pPr>
        <w:pStyle w:val="BodyText"/>
        <w:numPr>
          <w:ilvl w:val="0"/>
          <w:numId w:val="16"/>
        </w:numPr>
        <w:spacing w:after="0"/>
      </w:pPr>
      <w:r w:rsidRPr="00C74FE3">
        <w:t>To require the Committee to implement or act consistently with the advice or recommendations of the compensation consultant, independent legal counsel or other adviser to the Committee; or</w:t>
      </w:r>
    </w:p>
    <w:p w14:paraId="5B06F7D2" w14:textId="77777777" w:rsidR="00C74FE3" w:rsidRDefault="00C74FE3" w:rsidP="00C74FE3">
      <w:pPr>
        <w:pStyle w:val="BodyText"/>
        <w:spacing w:after="0"/>
        <w:ind w:left="720"/>
      </w:pPr>
    </w:p>
    <w:p w14:paraId="2EC15969" w14:textId="49FB7C6F" w:rsidR="00C74FE3" w:rsidRPr="00C74FE3" w:rsidRDefault="00C74FE3" w:rsidP="00C74FE3">
      <w:pPr>
        <w:pStyle w:val="BodyText"/>
        <w:numPr>
          <w:ilvl w:val="0"/>
          <w:numId w:val="16"/>
        </w:numPr>
        <w:spacing w:after="0"/>
      </w:pPr>
      <w:r w:rsidRPr="00C74FE3">
        <w:t>To affect the ability or obligation of the Committee to exercise its own judgment in fulfillment of its duties.</w:t>
      </w:r>
    </w:p>
    <w:p w14:paraId="4A8FECC8" w14:textId="77777777" w:rsidR="00C74FE3" w:rsidRPr="00C74FE3" w:rsidRDefault="00C74FE3" w:rsidP="00C74FE3">
      <w:pPr>
        <w:pStyle w:val="BodyText"/>
        <w:spacing w:after="0"/>
      </w:pPr>
    </w:p>
    <w:p w14:paraId="0E7B941E" w14:textId="77777777" w:rsidR="00C74FE3" w:rsidRPr="00C74FE3" w:rsidRDefault="00C74FE3" w:rsidP="00C74FE3">
      <w:pPr>
        <w:pStyle w:val="BodyText"/>
        <w:spacing w:after="0"/>
      </w:pPr>
      <w:r w:rsidRPr="00C74FE3">
        <w:t>The Company shall provide for appropriate funding, as determined by the Committee, in its capacity as the compensation committee of the Board, for payment of reasonable compensation to a compensation consultant, independent legal counsel or any other adviser retained by the Committee.</w:t>
      </w:r>
    </w:p>
    <w:p w14:paraId="35EE061C" w14:textId="77777777" w:rsidR="00C74FE3" w:rsidRPr="00C74FE3" w:rsidRDefault="00C74FE3" w:rsidP="00C74FE3">
      <w:pPr>
        <w:pStyle w:val="BodyText"/>
        <w:spacing w:after="0"/>
      </w:pPr>
    </w:p>
    <w:p w14:paraId="076D3764" w14:textId="77777777" w:rsidR="00C74FE3" w:rsidRPr="00C74FE3" w:rsidRDefault="00C74FE3" w:rsidP="00C74FE3">
      <w:pPr>
        <w:pStyle w:val="BodyText"/>
        <w:spacing w:after="0"/>
      </w:pPr>
      <w:r w:rsidRPr="00C74FE3">
        <w:lastRenderedPageBreak/>
        <w:t>The Committee may select a compensation consultant, legal counsel or other adviser to the Committee only after taking into consideration the following factors, as well as any other factors identified by the SEC or NYSE listing standards:</w:t>
      </w:r>
    </w:p>
    <w:p w14:paraId="03F2BB4B" w14:textId="77777777" w:rsidR="00C74FE3" w:rsidRPr="00C74FE3" w:rsidRDefault="00C74FE3" w:rsidP="00C74FE3">
      <w:pPr>
        <w:pStyle w:val="BodyText"/>
        <w:spacing w:after="0"/>
      </w:pPr>
    </w:p>
    <w:p w14:paraId="34D37CEA" w14:textId="77777777" w:rsidR="00C74FE3" w:rsidRDefault="00C74FE3" w:rsidP="00C74FE3">
      <w:pPr>
        <w:pStyle w:val="BodyText"/>
        <w:numPr>
          <w:ilvl w:val="0"/>
          <w:numId w:val="15"/>
        </w:numPr>
        <w:spacing w:after="0"/>
      </w:pPr>
      <w:r w:rsidRPr="00C74FE3">
        <w:t xml:space="preserve">The provision of other services to the Company by the person or entity that employs the compensation consultant, legal counsel or other </w:t>
      </w:r>
      <w:proofErr w:type="gramStart"/>
      <w:r w:rsidRPr="00C74FE3">
        <w:t>adviser;</w:t>
      </w:r>
      <w:proofErr w:type="gramEnd"/>
    </w:p>
    <w:p w14:paraId="4F04BF3B" w14:textId="77777777" w:rsidR="00C74FE3" w:rsidRDefault="00C74FE3" w:rsidP="00C74FE3">
      <w:pPr>
        <w:pStyle w:val="BodyText"/>
        <w:spacing w:after="0"/>
        <w:ind w:left="720"/>
      </w:pPr>
    </w:p>
    <w:p w14:paraId="4D8B4C1B" w14:textId="77777777" w:rsidR="00C74FE3" w:rsidRDefault="00C74FE3" w:rsidP="00C74FE3">
      <w:pPr>
        <w:pStyle w:val="BodyText"/>
        <w:numPr>
          <w:ilvl w:val="0"/>
          <w:numId w:val="15"/>
        </w:numPr>
        <w:spacing w:after="0"/>
      </w:pPr>
      <w:r w:rsidRPr="00C74FE3">
        <w:t xml:space="preserve">The amount of fees received from the Company by the person or entity that employs the compensation consultant, legal counsel or other adviser, as a percentage of the total revenue of the person or entity that employs the compensation consultant, legal counsel or other </w:t>
      </w:r>
      <w:proofErr w:type="gramStart"/>
      <w:r w:rsidRPr="00C74FE3">
        <w:t>adviser;</w:t>
      </w:r>
      <w:proofErr w:type="gramEnd"/>
    </w:p>
    <w:p w14:paraId="5FD530C9" w14:textId="77777777" w:rsidR="00C74FE3" w:rsidRDefault="00C74FE3" w:rsidP="00C74FE3">
      <w:pPr>
        <w:pStyle w:val="BodyText"/>
        <w:spacing w:after="0"/>
        <w:ind w:left="720"/>
      </w:pPr>
    </w:p>
    <w:p w14:paraId="0A23561F" w14:textId="77777777" w:rsidR="00C74FE3" w:rsidRDefault="00C74FE3" w:rsidP="00C74FE3">
      <w:pPr>
        <w:pStyle w:val="BodyText"/>
        <w:numPr>
          <w:ilvl w:val="0"/>
          <w:numId w:val="15"/>
        </w:numPr>
        <w:spacing w:after="0"/>
      </w:pPr>
      <w:r w:rsidRPr="00C74FE3">
        <w:t xml:space="preserve">The policies and procedures of the person or entity that employs the compensation consultant, legal counsel or other adviser that are designed to prevent conflicts of </w:t>
      </w:r>
      <w:proofErr w:type="gramStart"/>
      <w:r w:rsidRPr="00C74FE3">
        <w:t>interest;</w:t>
      </w:r>
      <w:proofErr w:type="gramEnd"/>
    </w:p>
    <w:p w14:paraId="492DD5D7" w14:textId="77777777" w:rsidR="00C74FE3" w:rsidRDefault="00C74FE3" w:rsidP="00C74FE3">
      <w:pPr>
        <w:pStyle w:val="BodyText"/>
        <w:spacing w:after="0"/>
        <w:ind w:left="720"/>
      </w:pPr>
    </w:p>
    <w:p w14:paraId="1372338A" w14:textId="77777777" w:rsidR="00C74FE3" w:rsidRDefault="00C74FE3" w:rsidP="00C74FE3">
      <w:pPr>
        <w:pStyle w:val="BodyText"/>
        <w:numPr>
          <w:ilvl w:val="0"/>
          <w:numId w:val="15"/>
        </w:numPr>
        <w:spacing w:after="0"/>
      </w:pPr>
      <w:r w:rsidRPr="00C74FE3">
        <w:t xml:space="preserve">Any business or personal relationship of the compensation consultant, legal counsel or other adviser with a member of the </w:t>
      </w:r>
      <w:proofErr w:type="gramStart"/>
      <w:r w:rsidRPr="00C74FE3">
        <w:t>Committee;</w:t>
      </w:r>
      <w:proofErr w:type="gramEnd"/>
    </w:p>
    <w:p w14:paraId="571B58E8" w14:textId="77777777" w:rsidR="00C74FE3" w:rsidRDefault="00C74FE3" w:rsidP="00C74FE3">
      <w:pPr>
        <w:pStyle w:val="BodyText"/>
        <w:spacing w:after="0"/>
        <w:ind w:left="720"/>
      </w:pPr>
    </w:p>
    <w:p w14:paraId="74F8FE80" w14:textId="77777777" w:rsidR="00C74FE3" w:rsidRDefault="00C74FE3" w:rsidP="00C74FE3">
      <w:pPr>
        <w:pStyle w:val="BodyText"/>
        <w:numPr>
          <w:ilvl w:val="0"/>
          <w:numId w:val="15"/>
        </w:numPr>
        <w:spacing w:after="0"/>
      </w:pPr>
      <w:r w:rsidRPr="00C74FE3">
        <w:t>Any stock of the Company owned by the compensation consultant, legal counsel or other adviser; and</w:t>
      </w:r>
    </w:p>
    <w:p w14:paraId="68EB9822" w14:textId="77777777" w:rsidR="00C74FE3" w:rsidRDefault="00C74FE3" w:rsidP="00C74FE3">
      <w:pPr>
        <w:pStyle w:val="BodyText"/>
        <w:spacing w:after="0"/>
        <w:ind w:left="720"/>
      </w:pPr>
    </w:p>
    <w:p w14:paraId="7D7C18AE" w14:textId="409D7E09" w:rsidR="00C74FE3" w:rsidRPr="00C74FE3" w:rsidRDefault="00C74FE3" w:rsidP="00C74FE3">
      <w:pPr>
        <w:pStyle w:val="BodyText"/>
        <w:numPr>
          <w:ilvl w:val="0"/>
          <w:numId w:val="15"/>
        </w:numPr>
        <w:spacing w:after="0"/>
      </w:pPr>
      <w:r w:rsidRPr="00C74FE3">
        <w:t>Any business or personal relationship of the compensation consultant, legal counsel, other adviser or the person or entity employing the adviser with an executive officer of the Company.</w:t>
      </w:r>
    </w:p>
    <w:p w14:paraId="1CCBD442" w14:textId="77777777" w:rsidR="00C74FE3" w:rsidRPr="00C74FE3" w:rsidRDefault="00C74FE3" w:rsidP="00C74FE3">
      <w:pPr>
        <w:pStyle w:val="BodyText"/>
        <w:spacing w:after="0"/>
      </w:pPr>
    </w:p>
    <w:p w14:paraId="529AA3FE" w14:textId="0D492BD9" w:rsidR="00C74FE3" w:rsidRPr="00C74FE3" w:rsidRDefault="00C74FE3" w:rsidP="00C74FE3">
      <w:pPr>
        <w:pStyle w:val="BodyText"/>
        <w:spacing w:after="0"/>
      </w:pPr>
      <w:r w:rsidRPr="00C74FE3">
        <w:t>The Committee is required to conduct the foregoing assessment with respect to any compensation consultant, legal counsel or other adviser that provides advice to it. The Committee is not required to conduct the assessment with respect to (i) in-house legal counsel; and (ii) any compensation consultant, legal counsel or other adviser whose role is limited to the following activities for which no disclosure would be required under Item</w:t>
      </w:r>
      <w:r w:rsidR="003571F3">
        <w:t> </w:t>
      </w:r>
      <w:r w:rsidRPr="00C74FE3">
        <w:t>407(e)(3)(iii) of Regulation</w:t>
      </w:r>
      <w:r w:rsidR="003571F3">
        <w:t> </w:t>
      </w:r>
      <w:r w:rsidRPr="00C74FE3">
        <w:t>S-K: (i) consulting on any broad-based plan that does not discriminate in scope, terms, or operation, in favor of executive officers or directors of the Company, and that is available generally to all salaried employees; or (ii) providing information that either is not customized for a particular company or that is customized based on parameters that are not developed by the compensation consultant, legal counsel or other advisor, and about which the compensation consultant</w:t>
      </w:r>
      <w:r w:rsidR="003571F3">
        <w:t>,</w:t>
      </w:r>
      <w:r w:rsidRPr="00C74FE3">
        <w:t xml:space="preserve"> legal counsel or other advisor, does not provide advice.</w:t>
      </w:r>
    </w:p>
    <w:p w14:paraId="11923413" w14:textId="77777777" w:rsidR="00C74FE3" w:rsidRPr="00C74FE3" w:rsidRDefault="00C74FE3" w:rsidP="00C74FE3">
      <w:pPr>
        <w:pStyle w:val="BodyText"/>
        <w:spacing w:after="0"/>
      </w:pPr>
    </w:p>
    <w:p w14:paraId="30E4667D" w14:textId="77777777" w:rsidR="00C74FE3" w:rsidRDefault="00C74FE3" w:rsidP="00C74FE3">
      <w:pPr>
        <w:pStyle w:val="BodyText"/>
        <w:spacing w:after="0"/>
      </w:pPr>
      <w:r w:rsidRPr="00C74FE3">
        <w:t>Nothing in this Charter requires a compensation consultant, legal counsel or other compensation adviser to be independent, only that the Committee consider the enumerated independence factors. The Committee may select or receive advice from any compensation adviser it prefers, including ones that are not independent, after considering the six independence factors outlined above.</w:t>
      </w:r>
    </w:p>
    <w:p w14:paraId="4B89D989" w14:textId="77777777" w:rsidR="00C74FE3" w:rsidRPr="00C74FE3" w:rsidRDefault="00C74FE3" w:rsidP="00C74FE3">
      <w:pPr>
        <w:pStyle w:val="BodyText"/>
        <w:spacing w:after="0"/>
      </w:pPr>
    </w:p>
    <w:p w14:paraId="453C9BFB" w14:textId="340DB9EF" w:rsidR="00C74FE3" w:rsidRPr="00C74FE3" w:rsidRDefault="00C74FE3" w:rsidP="00C74FE3">
      <w:pPr>
        <w:pStyle w:val="BodyText"/>
        <w:spacing w:after="0"/>
      </w:pPr>
      <w:r w:rsidRPr="00C74FE3">
        <w:t>The Committee shall evaluate whether any compensation consultant retained or to be retained by it has any conflict of interest in accordance with Item</w:t>
      </w:r>
      <w:r w:rsidR="003571F3">
        <w:t> </w:t>
      </w:r>
      <w:r w:rsidRPr="00C74FE3">
        <w:t>407(e)(3)(iv) of Regulation S-K.</w:t>
      </w:r>
    </w:p>
    <w:p w14:paraId="4138CC77" w14:textId="77777777" w:rsidR="00C74FE3" w:rsidRPr="00C74FE3" w:rsidRDefault="00C74FE3" w:rsidP="00C74FE3">
      <w:pPr>
        <w:pStyle w:val="BodyText"/>
        <w:spacing w:after="0"/>
      </w:pPr>
    </w:p>
    <w:p w14:paraId="3B08DABB" w14:textId="77777777" w:rsidR="00C74FE3" w:rsidRPr="00C74FE3" w:rsidRDefault="00C74FE3" w:rsidP="00C74FE3">
      <w:pPr>
        <w:pStyle w:val="BodyText"/>
        <w:spacing w:after="0"/>
      </w:pPr>
      <w:r w:rsidRPr="00C74FE3">
        <w:rPr>
          <w:b/>
          <w:bCs/>
        </w:rPr>
        <w:lastRenderedPageBreak/>
        <w:t>DUTIES AND RESPONSIBILITIES:</w:t>
      </w:r>
      <w:r w:rsidRPr="00C74FE3">
        <w:t xml:space="preserve"> The Committee shall have the following duties and responsibilities:</w:t>
      </w:r>
    </w:p>
    <w:p w14:paraId="5DBC082E" w14:textId="77777777" w:rsidR="00C74FE3" w:rsidRPr="00C74FE3" w:rsidRDefault="00C74FE3" w:rsidP="00C74FE3">
      <w:pPr>
        <w:pStyle w:val="BodyText"/>
        <w:spacing w:after="0"/>
      </w:pPr>
    </w:p>
    <w:p w14:paraId="1192BB29" w14:textId="6A0E5E56" w:rsidR="00C74FE3" w:rsidRDefault="00C74FE3" w:rsidP="00C74FE3">
      <w:pPr>
        <w:pStyle w:val="BodyText"/>
        <w:numPr>
          <w:ilvl w:val="0"/>
          <w:numId w:val="14"/>
        </w:numPr>
        <w:spacing w:after="0"/>
      </w:pPr>
      <w:r w:rsidRPr="00C74FE3">
        <w:t xml:space="preserve">Oversee the design of executive compensation programs, policies and practices, </w:t>
      </w:r>
      <w:proofErr w:type="gramStart"/>
      <w:r w:rsidRPr="00C74FE3">
        <w:t>giving appropriate consideration to</w:t>
      </w:r>
      <w:proofErr w:type="gramEnd"/>
      <w:r w:rsidRPr="00C74FE3">
        <w:t xml:space="preserve"> all human resources, accounting, tax, securities law, and regulatory requirements.</w:t>
      </w:r>
    </w:p>
    <w:p w14:paraId="434DF9BE" w14:textId="77777777" w:rsidR="00C74FE3" w:rsidRDefault="00C74FE3" w:rsidP="00C74FE3">
      <w:pPr>
        <w:pStyle w:val="BodyText"/>
        <w:spacing w:after="0"/>
        <w:ind w:left="1080"/>
      </w:pPr>
    </w:p>
    <w:p w14:paraId="54DE73FC" w14:textId="77777777" w:rsidR="00C74FE3" w:rsidRDefault="00C74FE3" w:rsidP="00C74FE3">
      <w:pPr>
        <w:pStyle w:val="BodyText"/>
        <w:numPr>
          <w:ilvl w:val="0"/>
          <w:numId w:val="14"/>
        </w:numPr>
        <w:spacing w:after="0"/>
      </w:pPr>
      <w:r w:rsidRPr="00C74FE3">
        <w:t>Review and approve the adoption, termination and amendment of the Company’s incentive compensation and equity-based plans, including where appropriate or required, to recommend such approval to the Board and stockholders of the Company.</w:t>
      </w:r>
    </w:p>
    <w:p w14:paraId="7CB0E6A9" w14:textId="77777777" w:rsidR="00C74FE3" w:rsidRDefault="00C74FE3" w:rsidP="00C74FE3">
      <w:pPr>
        <w:pStyle w:val="BodyText"/>
        <w:spacing w:after="0"/>
        <w:ind w:left="1080"/>
      </w:pPr>
    </w:p>
    <w:p w14:paraId="41F8EF83" w14:textId="77777777" w:rsidR="00C74FE3" w:rsidRDefault="00C74FE3" w:rsidP="00C74FE3">
      <w:pPr>
        <w:pStyle w:val="BodyText"/>
        <w:numPr>
          <w:ilvl w:val="0"/>
          <w:numId w:val="14"/>
        </w:numPr>
        <w:spacing w:after="0"/>
      </w:pPr>
      <w:r w:rsidRPr="00C74FE3">
        <w:t>Administer the Company’s incentive compensation plans and equity-based plans, including designation of the employees to whom the awards are to be granted, the amount of the award or equity to be granted and the terms and conditions applicable to each award or grant, subject to the provisions of each plan.</w:t>
      </w:r>
    </w:p>
    <w:p w14:paraId="517E5C4D" w14:textId="77777777" w:rsidR="00C74FE3" w:rsidRDefault="00C74FE3" w:rsidP="00C74FE3">
      <w:pPr>
        <w:pStyle w:val="BodyText"/>
        <w:spacing w:after="0"/>
        <w:ind w:left="1080"/>
      </w:pPr>
    </w:p>
    <w:p w14:paraId="6E56D0E8" w14:textId="77777777" w:rsidR="00C74FE3" w:rsidRPr="00F64781" w:rsidRDefault="00C74FE3" w:rsidP="00C74FE3">
      <w:pPr>
        <w:pStyle w:val="BodyText"/>
        <w:numPr>
          <w:ilvl w:val="0"/>
          <w:numId w:val="14"/>
        </w:numPr>
        <w:spacing w:after="0"/>
      </w:pPr>
      <w:r w:rsidRPr="00C74FE3">
        <w:t xml:space="preserve">Review and approve the adoption, termination and amendment of the health, welfare, wealth accumulation, retirement and other benefit plans of the Company and, where appropriate, its affiliates (including to recommend such approval to the Board and stockholders of the Company where appropriate or required), except to the extent that authority relating to any such plans has been delegated to: (i) a duly authorized committee (which may include employees of the Company and its affiliates); or (ii) to an executive officer of the Company. The Committee shall appoint, whether by name or position, the members of the Retirement and Wealth Accumulation Benefits Committee and monitor the Retirement and Wealth Accumulation Benefits Committee, which administers the Company’s employee retirement and wealth </w:t>
      </w:r>
      <w:r w:rsidRPr="00F64781">
        <w:t>accumulation benefits plans.</w:t>
      </w:r>
    </w:p>
    <w:p w14:paraId="1B9B114A" w14:textId="77777777" w:rsidR="00C74FE3" w:rsidRPr="00F64781" w:rsidRDefault="00C74FE3" w:rsidP="00C74FE3">
      <w:pPr>
        <w:pStyle w:val="BodyText"/>
        <w:spacing w:after="0"/>
        <w:ind w:left="1080"/>
      </w:pPr>
    </w:p>
    <w:p w14:paraId="572F0386" w14:textId="77777777" w:rsidR="00C74FE3" w:rsidRPr="00F64781" w:rsidRDefault="00C74FE3" w:rsidP="00C74FE3">
      <w:pPr>
        <w:pStyle w:val="BodyText"/>
        <w:numPr>
          <w:ilvl w:val="0"/>
          <w:numId w:val="14"/>
        </w:numPr>
        <w:spacing w:after="0"/>
      </w:pPr>
      <w:r w:rsidRPr="00F64781">
        <w:t>Review and approve annually the corporate goals and objectives as they relate to the compensation of the Chief Executive Officer, evaluate at least annually the performance of the Chief Executive Officer in light of those goals and objectives, and establish the Chief Executive Officer’s compensation, including salary, annual incentive plan targets and awards, stock awards and other compensation, based on this evaluation. In determining the long-term incentive compensation for the Chief Executive Officer, the Committee may consider the Company’s performance and relative shareholder return, the value of similar incentive awards to chief executive officers at comparable companies, and the awards given to the Chief Executive Officer in past years.</w:t>
      </w:r>
    </w:p>
    <w:p w14:paraId="402B820C" w14:textId="77777777" w:rsidR="00C74FE3" w:rsidRPr="00F64781" w:rsidRDefault="00C74FE3" w:rsidP="00C74FE3">
      <w:pPr>
        <w:pStyle w:val="BodyText"/>
        <w:spacing w:after="0"/>
        <w:ind w:left="1080"/>
      </w:pPr>
    </w:p>
    <w:p w14:paraId="311D595A" w14:textId="3AF4DCC5" w:rsidR="00C74FE3" w:rsidRDefault="00C74FE3" w:rsidP="00C74FE3">
      <w:pPr>
        <w:pStyle w:val="BodyText"/>
        <w:numPr>
          <w:ilvl w:val="0"/>
          <w:numId w:val="14"/>
        </w:numPr>
        <w:spacing w:after="0"/>
      </w:pPr>
      <w:r w:rsidRPr="00F64781">
        <w:t>Consider the results of the most recent stockholder advisory vote on executive compensation required by Section</w:t>
      </w:r>
      <w:r w:rsidR="003571F3" w:rsidRPr="00F64781">
        <w:t> </w:t>
      </w:r>
      <w:r w:rsidRPr="00F64781">
        <w:t>14A of the Exchange Act (“say-on-pay”) when evaluating and determining incentive compensation, equity-based plans and executive compensation, including the compensation</w:t>
      </w:r>
      <w:r w:rsidRPr="00C74FE3">
        <w:t xml:space="preserve"> of the Chief Executive Officer. The Committee will review and recommend to the Board for approval the frequency with </w:t>
      </w:r>
      <w:r w:rsidRPr="00C74FE3">
        <w:lastRenderedPageBreak/>
        <w:t xml:space="preserve">which the Company will conduct say-on- pay votes, </w:t>
      </w:r>
      <w:proofErr w:type="gramStart"/>
      <w:r w:rsidRPr="00C74FE3">
        <w:t>taking into account</w:t>
      </w:r>
      <w:proofErr w:type="gramEnd"/>
      <w:r w:rsidRPr="00C74FE3">
        <w:t xml:space="preserve"> the results of</w:t>
      </w:r>
      <w:r w:rsidR="003571F3">
        <w:t xml:space="preserve"> </w:t>
      </w:r>
      <w:r w:rsidRPr="00C74FE3">
        <w:t>the most recent stockholder advisory vote on the frequency of say-on-pay votes.</w:t>
      </w:r>
    </w:p>
    <w:p w14:paraId="6AA417EF" w14:textId="77777777" w:rsidR="00C74FE3" w:rsidRDefault="00C74FE3" w:rsidP="00C74FE3">
      <w:pPr>
        <w:pStyle w:val="BodyText"/>
        <w:spacing w:after="0"/>
        <w:ind w:left="1080"/>
      </w:pPr>
    </w:p>
    <w:p w14:paraId="33A66267" w14:textId="5EC64C61" w:rsidR="00C74FE3" w:rsidRDefault="00C74FE3" w:rsidP="00C74FE3">
      <w:pPr>
        <w:pStyle w:val="BodyText"/>
        <w:numPr>
          <w:ilvl w:val="0"/>
          <w:numId w:val="14"/>
        </w:numPr>
        <w:spacing w:after="0"/>
      </w:pPr>
      <w:r w:rsidRPr="00C74FE3">
        <w:t>Review and evaluate whether the Company’s compensation policies and practices for its executive officers and other employees of the Company and its affiliates create risks that are reasonably likely to have a material adverse effect on the Company and determine whether to recommend to the Board the inclusion of additional disclosure in the Company’s proxy statement regarding any such risk.</w:t>
      </w:r>
    </w:p>
    <w:p w14:paraId="3783B4D5" w14:textId="77777777" w:rsidR="003571F3" w:rsidRDefault="003571F3" w:rsidP="003571F3">
      <w:pPr>
        <w:pStyle w:val="BodyText"/>
        <w:spacing w:after="0"/>
      </w:pPr>
    </w:p>
    <w:p w14:paraId="041B1F67" w14:textId="77777777" w:rsidR="00C74FE3" w:rsidRDefault="00C74FE3" w:rsidP="00C74FE3">
      <w:pPr>
        <w:pStyle w:val="BodyText"/>
        <w:numPr>
          <w:ilvl w:val="0"/>
          <w:numId w:val="14"/>
        </w:numPr>
        <w:spacing w:after="0"/>
      </w:pPr>
      <w:r w:rsidRPr="00C74FE3">
        <w:t>Review and approve annually corporate goals and objectives as they relate to the compensation of each of the executive officers elected by the Board (the “Elected Officers”) other than the Chief Executive Officer, evaluate at least annually the performance of such Elected Officers in light of those goals and objectives, and establish the compensation of such Elected Officers, including salary, annual incentive plan targets and awards, stock awards and other compensation, based on this evaluation. The Committee shall confer with the Chief Executive Officer concerning the performance and compensation of such Elected Officers.</w:t>
      </w:r>
    </w:p>
    <w:p w14:paraId="573C7F59" w14:textId="77777777" w:rsidR="006771D2" w:rsidRDefault="006771D2" w:rsidP="006771D2">
      <w:pPr>
        <w:pStyle w:val="ListParagraph"/>
      </w:pPr>
    </w:p>
    <w:p w14:paraId="7D12D9DA" w14:textId="12DC9CB4" w:rsidR="006771D2" w:rsidRDefault="006771D2" w:rsidP="006771D2">
      <w:pPr>
        <w:pStyle w:val="BodyText"/>
        <w:numPr>
          <w:ilvl w:val="0"/>
          <w:numId w:val="14"/>
        </w:numPr>
        <w:spacing w:after="0"/>
      </w:pPr>
      <w:r>
        <w:t>Review, approve and administer “</w:t>
      </w:r>
      <w:proofErr w:type="spellStart"/>
      <w:r>
        <w:t>clawback</w:t>
      </w:r>
      <w:proofErr w:type="spellEnd"/>
      <w:r>
        <w:t>” and similar policies that allow the Company to recoup incentive or other compensation.</w:t>
      </w:r>
    </w:p>
    <w:p w14:paraId="1C8AEE8A" w14:textId="77777777" w:rsidR="00C74FE3" w:rsidRDefault="00C74FE3" w:rsidP="00C74FE3">
      <w:pPr>
        <w:pStyle w:val="BodyText"/>
        <w:spacing w:after="0"/>
        <w:ind w:left="360"/>
      </w:pPr>
    </w:p>
    <w:p w14:paraId="77CECC58" w14:textId="77777777" w:rsidR="00C74FE3" w:rsidRDefault="00C74FE3" w:rsidP="00C74FE3">
      <w:pPr>
        <w:pStyle w:val="BodyText"/>
        <w:numPr>
          <w:ilvl w:val="0"/>
          <w:numId w:val="14"/>
        </w:numPr>
        <w:spacing w:after="0"/>
      </w:pPr>
      <w:r w:rsidRPr="00C74FE3">
        <w:t>Review and approve the Company’s peer companies and data sources for purposes of evaluating the Company’s compensation competitiveness and establishing the appropriate competitive positioning of the levels and mix of compensation elements, to the extent appropriate or desired.</w:t>
      </w:r>
    </w:p>
    <w:p w14:paraId="5BBA0ADC" w14:textId="77777777" w:rsidR="00C74FE3" w:rsidRDefault="00C74FE3" w:rsidP="00C74FE3">
      <w:pPr>
        <w:pStyle w:val="BodyText"/>
        <w:spacing w:after="0"/>
        <w:ind w:left="360"/>
      </w:pPr>
    </w:p>
    <w:p w14:paraId="5E2C1984" w14:textId="77777777" w:rsidR="00C74FE3" w:rsidRDefault="00C74FE3" w:rsidP="00C74FE3">
      <w:pPr>
        <w:pStyle w:val="BodyText"/>
        <w:numPr>
          <w:ilvl w:val="0"/>
          <w:numId w:val="14"/>
        </w:numPr>
        <w:spacing w:after="0"/>
      </w:pPr>
      <w:r w:rsidRPr="00C74FE3">
        <w:t>Make recommendations to the Board regarding the development, selection, retention and dismissal of the Elected Officers. The Committee shall also review and make recommendations to the Board (or, in the case of the Chief Executive Officer, the independent directors of the Board then in office) regarding the terms of any of the Elected Officers’ employment agreements and any severance arrangements or plans, including any benefits to be provided in connection with a change of control, and any amendments or modifications thereto or termination thereof.</w:t>
      </w:r>
    </w:p>
    <w:p w14:paraId="7E6D3851" w14:textId="77777777" w:rsidR="00C74FE3" w:rsidRDefault="00C74FE3" w:rsidP="00C74FE3">
      <w:pPr>
        <w:pStyle w:val="BodyText"/>
        <w:spacing w:after="0"/>
        <w:ind w:left="360"/>
      </w:pPr>
    </w:p>
    <w:p w14:paraId="2D68C862" w14:textId="77777777" w:rsidR="00C74FE3" w:rsidRDefault="00C74FE3" w:rsidP="00C74FE3">
      <w:pPr>
        <w:pStyle w:val="BodyText"/>
        <w:numPr>
          <w:ilvl w:val="0"/>
          <w:numId w:val="14"/>
        </w:numPr>
        <w:spacing w:after="0"/>
      </w:pPr>
      <w:r w:rsidRPr="00C74FE3">
        <w:t>Review and recommend to the Board for approval stock ownership guidelines for the Elected Officers and monitor compliance with such guidelines.</w:t>
      </w:r>
    </w:p>
    <w:p w14:paraId="14E655D5" w14:textId="77777777" w:rsidR="00C74FE3" w:rsidRDefault="00C74FE3" w:rsidP="00C74FE3">
      <w:pPr>
        <w:pStyle w:val="BodyText"/>
        <w:spacing w:after="0"/>
        <w:ind w:left="360"/>
      </w:pPr>
    </w:p>
    <w:p w14:paraId="03DD1C3C" w14:textId="77777777" w:rsidR="00C74FE3" w:rsidRDefault="00C74FE3" w:rsidP="00C74FE3">
      <w:pPr>
        <w:pStyle w:val="BodyText"/>
        <w:numPr>
          <w:ilvl w:val="0"/>
          <w:numId w:val="14"/>
        </w:numPr>
        <w:spacing w:after="0"/>
      </w:pPr>
      <w:r w:rsidRPr="00C74FE3">
        <w:t>Participate in the deliberations of the Governance, Nominating &amp; Corporate Responsibility Committee with respect to succession planning for the Chief Executive Officer and for such other executive officers of the Company as the Board may direct.</w:t>
      </w:r>
    </w:p>
    <w:p w14:paraId="5FC4BCE0" w14:textId="77777777" w:rsidR="00C74FE3" w:rsidRDefault="00C74FE3" w:rsidP="00C74FE3">
      <w:pPr>
        <w:pStyle w:val="BodyText"/>
        <w:spacing w:after="0"/>
        <w:ind w:left="360"/>
      </w:pPr>
    </w:p>
    <w:p w14:paraId="10A2949F" w14:textId="77777777" w:rsidR="00C74FE3" w:rsidRDefault="00C74FE3" w:rsidP="00C74FE3">
      <w:pPr>
        <w:pStyle w:val="BodyText"/>
        <w:numPr>
          <w:ilvl w:val="0"/>
          <w:numId w:val="14"/>
        </w:numPr>
        <w:spacing w:after="0"/>
      </w:pPr>
      <w:r w:rsidRPr="00C74FE3">
        <w:t xml:space="preserve">Assist the Governance, Nominating &amp; Corporate Responsibility Committee in its annual review of the compensation of the Company’s independent directors and any other non-employee directors and the principles upon which such compensation is determined. In this regard, the Committee will consider how the Company’s director </w:t>
      </w:r>
      <w:r w:rsidRPr="00C74FE3">
        <w:lastRenderedPageBreak/>
        <w:t>compensation practices compare with those of other similarly situated public companies.</w:t>
      </w:r>
    </w:p>
    <w:p w14:paraId="19A94DF3" w14:textId="77777777" w:rsidR="00C74FE3" w:rsidRDefault="00C74FE3" w:rsidP="00C74FE3">
      <w:pPr>
        <w:pStyle w:val="BodyText"/>
        <w:spacing w:after="0"/>
        <w:ind w:left="360"/>
      </w:pPr>
    </w:p>
    <w:p w14:paraId="6BB42D27" w14:textId="77777777" w:rsidR="00C74FE3" w:rsidRDefault="00C74FE3" w:rsidP="00C74FE3">
      <w:pPr>
        <w:pStyle w:val="BodyText"/>
        <w:numPr>
          <w:ilvl w:val="0"/>
          <w:numId w:val="14"/>
        </w:numPr>
        <w:spacing w:after="0"/>
      </w:pPr>
      <w:r w:rsidRPr="00C74FE3">
        <w:t xml:space="preserve">Review and discuss with management the Company’s annual Compensation Discussion and Analysis (“CD&amp;A”) required by the rules and regulations of the SEC </w:t>
      </w:r>
      <w:proofErr w:type="gramStart"/>
      <w:r w:rsidRPr="00C74FE3">
        <w:t>and,</w:t>
      </w:r>
      <w:proofErr w:type="gramEnd"/>
      <w:r w:rsidRPr="00C74FE3">
        <w:t xml:space="preserve"> based on the review and discussions, recommend to the Board whether the Compensation Discussion and Analysis should be included in the Company’s annual proxy statement.</w:t>
      </w:r>
    </w:p>
    <w:p w14:paraId="5497917B" w14:textId="77777777" w:rsidR="00C74FE3" w:rsidRDefault="00C74FE3" w:rsidP="00C74FE3">
      <w:pPr>
        <w:pStyle w:val="BodyText"/>
        <w:spacing w:after="0"/>
        <w:ind w:left="360"/>
      </w:pPr>
    </w:p>
    <w:p w14:paraId="17AE3FEC" w14:textId="77777777" w:rsidR="00C74FE3" w:rsidRDefault="00C74FE3" w:rsidP="00C74FE3">
      <w:pPr>
        <w:pStyle w:val="BodyText"/>
        <w:numPr>
          <w:ilvl w:val="0"/>
          <w:numId w:val="14"/>
        </w:numPr>
        <w:spacing w:after="0"/>
      </w:pPr>
      <w:r w:rsidRPr="00C74FE3">
        <w:t>Prepare the report of the Committee on executive compensation for inclusion in the Company’s annual proxy statement in accordance with the rules and regulations of the SEC.</w:t>
      </w:r>
    </w:p>
    <w:p w14:paraId="6C71985C" w14:textId="77777777" w:rsidR="00C74FE3" w:rsidRDefault="00C74FE3" w:rsidP="00C74FE3">
      <w:pPr>
        <w:pStyle w:val="BodyText"/>
        <w:spacing w:after="0"/>
        <w:ind w:left="360"/>
      </w:pPr>
    </w:p>
    <w:p w14:paraId="5C6A429C" w14:textId="54B7174D" w:rsidR="00C74FE3" w:rsidRDefault="00C74FE3" w:rsidP="00C74FE3">
      <w:pPr>
        <w:pStyle w:val="BodyText"/>
        <w:numPr>
          <w:ilvl w:val="0"/>
          <w:numId w:val="14"/>
        </w:numPr>
        <w:spacing w:after="0"/>
      </w:pPr>
      <w:r w:rsidRPr="00C74FE3">
        <w:t>Periodically review and discuss with management the development, implementation and effectiveness of the Company’s policies and strategies related to its human capital management function, which may include, but are not limited to, those policies and strategies regarding the development, attraction, and retention of Company personnel, workplace environment and culture, and internal communications programs.</w:t>
      </w:r>
    </w:p>
    <w:p w14:paraId="4AA8B86C" w14:textId="77777777" w:rsidR="00C74FE3" w:rsidRDefault="00C74FE3" w:rsidP="00C74FE3">
      <w:pPr>
        <w:pStyle w:val="BodyText"/>
        <w:spacing w:after="0"/>
        <w:ind w:left="1080"/>
      </w:pPr>
    </w:p>
    <w:p w14:paraId="39751D95" w14:textId="77777777" w:rsidR="00C74FE3" w:rsidRDefault="00C74FE3" w:rsidP="00C74FE3">
      <w:pPr>
        <w:pStyle w:val="BodyText"/>
        <w:numPr>
          <w:ilvl w:val="0"/>
          <w:numId w:val="14"/>
        </w:numPr>
        <w:spacing w:after="0"/>
      </w:pPr>
      <w:r w:rsidRPr="00C74FE3">
        <w:t>Review the adequacy of this Charter annually and recommend any proposed changes to the Board for its approval.</w:t>
      </w:r>
    </w:p>
    <w:p w14:paraId="3BC0B660" w14:textId="77777777" w:rsidR="00C74FE3" w:rsidRDefault="00C74FE3" w:rsidP="00C74FE3">
      <w:pPr>
        <w:pStyle w:val="BodyText"/>
        <w:spacing w:after="0"/>
      </w:pPr>
    </w:p>
    <w:p w14:paraId="6F69A749" w14:textId="44CBD029" w:rsidR="00F64781" w:rsidRDefault="00C74FE3" w:rsidP="006771D2">
      <w:pPr>
        <w:pStyle w:val="BodyText"/>
        <w:numPr>
          <w:ilvl w:val="0"/>
          <w:numId w:val="14"/>
        </w:numPr>
        <w:spacing w:after="0"/>
      </w:pPr>
      <w:r w:rsidRPr="00C74FE3">
        <w:t>Assess, at least once a year, its own performance and deliver a report to the Board setting forth the results of the evaluation.</w:t>
      </w:r>
    </w:p>
    <w:p w14:paraId="7E062604" w14:textId="77777777" w:rsidR="00C74FE3" w:rsidRDefault="00C74FE3" w:rsidP="00C74FE3">
      <w:pPr>
        <w:pStyle w:val="BodyText"/>
        <w:spacing w:after="0"/>
        <w:ind w:left="1080"/>
      </w:pPr>
    </w:p>
    <w:p w14:paraId="37906437" w14:textId="745C882D" w:rsidR="00C74FE3" w:rsidRPr="00C74FE3" w:rsidRDefault="00C74FE3" w:rsidP="00C74FE3">
      <w:pPr>
        <w:pStyle w:val="BodyText"/>
        <w:numPr>
          <w:ilvl w:val="0"/>
          <w:numId w:val="14"/>
        </w:numPr>
        <w:spacing w:after="0"/>
      </w:pPr>
      <w:r w:rsidRPr="00C74FE3">
        <w:t>Perform such other duties and carry out such other responsibilities as are consistent with this Charter.</w:t>
      </w:r>
    </w:p>
    <w:p w14:paraId="39617569" w14:textId="77777777" w:rsidR="00C74FE3" w:rsidRPr="00C74FE3" w:rsidRDefault="00C74FE3" w:rsidP="00C74FE3">
      <w:pPr>
        <w:pStyle w:val="BodyText"/>
        <w:spacing w:after="0"/>
      </w:pPr>
    </w:p>
    <w:p w14:paraId="78F97A60" w14:textId="0CB8E699" w:rsidR="00DE0614" w:rsidRPr="00C74FE3" w:rsidRDefault="00C74FE3" w:rsidP="00C74FE3">
      <w:pPr>
        <w:pStyle w:val="BodyText"/>
        <w:spacing w:after="0"/>
        <w:rPr>
          <w:b/>
          <w:bCs/>
        </w:rPr>
      </w:pPr>
      <w:r w:rsidRPr="00C74FE3">
        <w:rPr>
          <w:b/>
          <w:bCs/>
        </w:rPr>
        <w:t xml:space="preserve">REVISED </w:t>
      </w:r>
      <w:r w:rsidR="00FC6221">
        <w:rPr>
          <w:b/>
          <w:bCs/>
        </w:rPr>
        <w:t xml:space="preserve">March </w:t>
      </w:r>
      <w:r w:rsidR="00F0117F">
        <w:rPr>
          <w:b/>
          <w:bCs/>
        </w:rPr>
        <w:t>18</w:t>
      </w:r>
      <w:r w:rsidRPr="00C74FE3">
        <w:rPr>
          <w:b/>
          <w:bCs/>
        </w:rPr>
        <w:t>, 202</w:t>
      </w:r>
      <w:r w:rsidR="00FC6221">
        <w:rPr>
          <w:b/>
          <w:bCs/>
        </w:rPr>
        <w:t>5</w:t>
      </w:r>
    </w:p>
    <w:sectPr w:rsidR="00DE0614" w:rsidRPr="00C74FE3" w:rsidSect="002D765E">
      <w:footerReference w:type="default" r:id="rId7"/>
      <w:head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3B21" w14:textId="77777777" w:rsidR="008D70E7" w:rsidRDefault="008D70E7">
      <w:r>
        <w:separator/>
      </w:r>
    </w:p>
  </w:endnote>
  <w:endnote w:type="continuationSeparator" w:id="0">
    <w:p w14:paraId="6796848D" w14:textId="77777777" w:rsidR="008D70E7" w:rsidRDefault="008D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CC08" w14:textId="1163E8A2" w:rsidR="002B795A" w:rsidRPr="00B4386B" w:rsidRDefault="005F611E" w:rsidP="00B4386B">
    <w:pPr>
      <w:pStyle w:val="Footer"/>
      <w:jc w:val="center"/>
      <w:rPr>
        <w:rFonts w:ascii="Times New Roman" w:hAnsi="Times New Roman"/>
        <w:noProof/>
        <w:sz w:val="24"/>
      </w:rPr>
    </w:pPr>
    <w:sdt>
      <w:sdtPr>
        <w:id w:val="1030621390"/>
        <w:docPartObj>
          <w:docPartGallery w:val="Page Numbers (Bottom of Page)"/>
          <w:docPartUnique/>
        </w:docPartObj>
      </w:sdtPr>
      <w:sdtEndPr>
        <w:rPr>
          <w:rFonts w:ascii="Times New Roman" w:hAnsi="Times New Roman"/>
          <w:noProof/>
          <w:sz w:val="24"/>
        </w:rPr>
      </w:sdtEndPr>
      <w:sdtContent>
        <w:r w:rsidR="002B795A" w:rsidRPr="002B795A">
          <w:rPr>
            <w:rFonts w:ascii="Times New Roman" w:hAnsi="Times New Roman"/>
            <w:sz w:val="24"/>
          </w:rPr>
          <w:fldChar w:fldCharType="begin"/>
        </w:r>
        <w:r w:rsidR="002B795A" w:rsidRPr="002B795A">
          <w:rPr>
            <w:rFonts w:ascii="Times New Roman" w:hAnsi="Times New Roman"/>
            <w:sz w:val="24"/>
          </w:rPr>
          <w:instrText xml:space="preserve"> PAGE   \* MERGEFORMAT </w:instrText>
        </w:r>
        <w:r w:rsidR="002B795A" w:rsidRPr="002B795A">
          <w:rPr>
            <w:rFonts w:ascii="Times New Roman" w:hAnsi="Times New Roman"/>
            <w:sz w:val="24"/>
          </w:rPr>
          <w:fldChar w:fldCharType="separate"/>
        </w:r>
        <w:r w:rsidR="002B795A" w:rsidRPr="002B795A">
          <w:rPr>
            <w:rFonts w:ascii="Times New Roman" w:hAnsi="Times New Roman"/>
            <w:noProof/>
            <w:sz w:val="24"/>
          </w:rPr>
          <w:t>2</w:t>
        </w:r>
        <w:r w:rsidR="002B795A" w:rsidRPr="002B795A">
          <w:rPr>
            <w:rFonts w:ascii="Times New Roman" w:hAnsi="Times New Roman"/>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924B" w14:textId="77777777" w:rsidR="008D70E7" w:rsidRDefault="008D70E7">
      <w:r>
        <w:separator/>
      </w:r>
    </w:p>
  </w:footnote>
  <w:footnote w:type="continuationSeparator" w:id="0">
    <w:p w14:paraId="68CBA8A1" w14:textId="77777777" w:rsidR="008D70E7" w:rsidRDefault="008D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E381" w14:textId="2616CA79" w:rsidR="00875CEE" w:rsidRPr="002B795A" w:rsidRDefault="00875CEE" w:rsidP="00B4386B">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ECA4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8096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8C4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DE98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EE1F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27A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830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FE2A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E5E6A"/>
    <w:lvl w:ilvl="0">
      <w:start w:val="1"/>
      <w:numFmt w:val="decimal"/>
      <w:pStyle w:val="ListNumber"/>
      <w:lvlText w:val="%1."/>
      <w:lvlJc w:val="left"/>
      <w:pPr>
        <w:tabs>
          <w:tab w:val="num" w:pos="0"/>
        </w:tabs>
        <w:ind w:left="720" w:hanging="720"/>
      </w:pPr>
      <w:rPr>
        <w:rFonts w:ascii="Times New Roman" w:hAnsi="Times New Roman" w:hint="default"/>
        <w:b w:val="0"/>
        <w:i w:val="0"/>
        <w:color w:val="auto"/>
        <w:sz w:val="24"/>
        <w:szCs w:val="24"/>
        <w:u w:val="none"/>
      </w:rPr>
    </w:lvl>
  </w:abstractNum>
  <w:abstractNum w:abstractNumId="9" w15:restartNumberingAfterBreak="0">
    <w:nsid w:val="FFFFFF89"/>
    <w:multiLevelType w:val="singleLevel"/>
    <w:tmpl w:val="B9BAA922"/>
    <w:lvl w:ilvl="0">
      <w:start w:val="1"/>
      <w:numFmt w:val="bullet"/>
      <w:pStyle w:val="ListBullet"/>
      <w:lvlText w:val=""/>
      <w:lvlJc w:val="left"/>
      <w:pPr>
        <w:tabs>
          <w:tab w:val="num" w:pos="0"/>
        </w:tabs>
        <w:ind w:left="720" w:hanging="720"/>
      </w:pPr>
      <w:rPr>
        <w:rFonts w:ascii="Symbol" w:hAnsi="Symbol" w:hint="default"/>
      </w:rPr>
    </w:lvl>
  </w:abstractNum>
  <w:abstractNum w:abstractNumId="10" w15:restartNumberingAfterBreak="0">
    <w:nsid w:val="04184EF2"/>
    <w:multiLevelType w:val="hybridMultilevel"/>
    <w:tmpl w:val="2A429FF2"/>
    <w:lvl w:ilvl="0" w:tplc="421221D4">
      <w:start w:val="1"/>
      <w:numFmt w:val="bullet"/>
      <w:pStyle w:val="ListBulletNoSpcAf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736E1"/>
    <w:multiLevelType w:val="multilevel"/>
    <w:tmpl w:val="38A44E1C"/>
    <w:lvl w:ilvl="0">
      <w:start w:val="1"/>
      <w:numFmt w:val="upperRoman"/>
      <w:pStyle w:val="Heading1"/>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upperLetter"/>
      <w:pStyle w:val="Heading2"/>
      <w:lvlText w:val="%2."/>
      <w:lvlJc w:val="left"/>
      <w:pPr>
        <w:tabs>
          <w:tab w:val="num" w:pos="720"/>
        </w:tabs>
        <w:ind w:left="1440" w:hanging="720"/>
      </w:pPr>
      <w:rPr>
        <w:rFonts w:ascii="Times New Roman" w:hAnsi="Times New Roman" w:hint="default"/>
        <w:b w:val="0"/>
        <w:i w:val="0"/>
        <w:color w:val="auto"/>
        <w:sz w:val="24"/>
        <w:szCs w:val="24"/>
        <w:u w:val="none"/>
      </w:rPr>
    </w:lvl>
    <w:lvl w:ilvl="2">
      <w:start w:val="1"/>
      <w:numFmt w:val="decimal"/>
      <w:pStyle w:val="Heading3"/>
      <w:lvlText w:val="%3."/>
      <w:lvlJc w:val="left"/>
      <w:pPr>
        <w:tabs>
          <w:tab w:val="num" w:pos="720"/>
        </w:tabs>
        <w:ind w:left="2160" w:hanging="72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720"/>
        </w:tabs>
        <w:ind w:left="2880" w:hanging="720"/>
      </w:pPr>
      <w:rPr>
        <w:rFonts w:ascii="Times New Roman" w:hAnsi="Times New Roman" w:hint="default"/>
        <w:b w:val="0"/>
        <w:i w:val="0"/>
        <w:color w:val="auto"/>
        <w:sz w:val="24"/>
        <w:szCs w:val="24"/>
        <w:u w:val="none"/>
      </w:rPr>
    </w:lvl>
    <w:lvl w:ilvl="4">
      <w:start w:val="1"/>
      <w:numFmt w:val="lowerLetter"/>
      <w:pStyle w:val="Heading5"/>
      <w:lvlText w:val="%5."/>
      <w:lvlJc w:val="left"/>
      <w:pPr>
        <w:tabs>
          <w:tab w:val="num" w:pos="720"/>
        </w:tabs>
        <w:ind w:left="3600" w:hanging="720"/>
      </w:pPr>
      <w:rPr>
        <w:rFonts w:ascii="Times New Roman" w:hAnsi="Times New Roman" w:hint="default"/>
        <w:b w:val="0"/>
        <w:i w:val="0"/>
        <w:color w:val="auto"/>
        <w:sz w:val="24"/>
        <w:szCs w:val="24"/>
        <w:u w:val="none"/>
      </w:rPr>
    </w:lvl>
    <w:lvl w:ilvl="5">
      <w:start w:val="1"/>
      <w:numFmt w:val="decimal"/>
      <w:pStyle w:val="Heading6"/>
      <w:lvlText w:val="(%2)"/>
      <w:lvlJc w:val="left"/>
      <w:pPr>
        <w:tabs>
          <w:tab w:val="num" w:pos="4752"/>
        </w:tabs>
        <w:ind w:left="4752" w:hanging="1152"/>
      </w:pPr>
      <w:rPr>
        <w:rFonts w:hint="default"/>
      </w:rPr>
    </w:lvl>
    <w:lvl w:ilvl="6">
      <w:start w:val="1"/>
      <w:numFmt w:val="decimal"/>
      <w:pStyle w:val="Heading7"/>
      <w:lvlText w:val="(%3)"/>
      <w:lvlJc w:val="left"/>
      <w:pPr>
        <w:tabs>
          <w:tab w:val="num" w:pos="4896"/>
        </w:tabs>
        <w:ind w:left="4896" w:hanging="1296"/>
      </w:pPr>
      <w:rPr>
        <w:rFonts w:hint="default"/>
      </w:rPr>
    </w:lvl>
    <w:lvl w:ilvl="7">
      <w:start w:val="1"/>
      <w:numFmt w:val="decimal"/>
      <w:pStyle w:val="Heading8"/>
      <w:lvlText w:val="(%5)"/>
      <w:lvlJc w:val="left"/>
      <w:pPr>
        <w:tabs>
          <w:tab w:val="num" w:pos="5040"/>
        </w:tabs>
        <w:ind w:left="5040" w:hanging="1440"/>
      </w:pPr>
      <w:rPr>
        <w:rFonts w:hint="default"/>
        <w:b w:val="0"/>
        <w:i w:val="0"/>
      </w:rPr>
    </w:lvl>
    <w:lvl w:ilvl="8">
      <w:start w:val="1"/>
      <w:numFmt w:val="decimal"/>
      <w:pStyle w:val="Heading9"/>
      <w:lvlText w:val="(%4)"/>
      <w:lvlJc w:val="left"/>
      <w:pPr>
        <w:tabs>
          <w:tab w:val="num" w:pos="5184"/>
        </w:tabs>
        <w:ind w:left="5184" w:hanging="1584"/>
      </w:pPr>
      <w:rPr>
        <w:rFonts w:hint="default"/>
      </w:rPr>
    </w:lvl>
  </w:abstractNum>
  <w:abstractNum w:abstractNumId="12" w15:restartNumberingAfterBreak="0">
    <w:nsid w:val="09CF6E86"/>
    <w:multiLevelType w:val="hybridMultilevel"/>
    <w:tmpl w:val="9B74416A"/>
    <w:lvl w:ilvl="0" w:tplc="462C7DD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666D1"/>
    <w:multiLevelType w:val="hybridMultilevel"/>
    <w:tmpl w:val="5ABEC84C"/>
    <w:lvl w:ilvl="0" w:tplc="43069442">
      <w:start w:val="1"/>
      <w:numFmt w:val="decimal"/>
      <w:pStyle w:val="ListNumberNoSpcAft"/>
      <w:lvlText w:val="%1."/>
      <w:lvlJc w:val="left"/>
      <w:pPr>
        <w:tabs>
          <w:tab w:val="num" w:pos="0"/>
        </w:tabs>
        <w:ind w:left="1440" w:hanging="720"/>
      </w:pPr>
      <w:rPr>
        <w:rFonts w:ascii="Times New Roman" w:hAnsi="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BC2830"/>
    <w:multiLevelType w:val="hybridMultilevel"/>
    <w:tmpl w:val="0B726A54"/>
    <w:lvl w:ilvl="0" w:tplc="462C7DD8">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7A91"/>
    <w:multiLevelType w:val="hybridMultilevel"/>
    <w:tmpl w:val="61763F36"/>
    <w:lvl w:ilvl="0" w:tplc="225A26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04449"/>
    <w:multiLevelType w:val="hybridMultilevel"/>
    <w:tmpl w:val="0372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67515">
    <w:abstractNumId w:val="11"/>
  </w:num>
  <w:num w:numId="2" w16cid:durableId="2117748787">
    <w:abstractNumId w:val="9"/>
  </w:num>
  <w:num w:numId="3" w16cid:durableId="2053192469">
    <w:abstractNumId w:val="7"/>
  </w:num>
  <w:num w:numId="4" w16cid:durableId="1978954931">
    <w:abstractNumId w:val="6"/>
  </w:num>
  <w:num w:numId="5" w16cid:durableId="2042124163">
    <w:abstractNumId w:val="5"/>
  </w:num>
  <w:num w:numId="6" w16cid:durableId="1327704217">
    <w:abstractNumId w:val="4"/>
  </w:num>
  <w:num w:numId="7" w16cid:durableId="1075398049">
    <w:abstractNumId w:val="10"/>
  </w:num>
  <w:num w:numId="8" w16cid:durableId="1892837062">
    <w:abstractNumId w:val="8"/>
  </w:num>
  <w:num w:numId="9" w16cid:durableId="417486904">
    <w:abstractNumId w:val="3"/>
  </w:num>
  <w:num w:numId="10" w16cid:durableId="863783653">
    <w:abstractNumId w:val="2"/>
  </w:num>
  <w:num w:numId="11" w16cid:durableId="1837376278">
    <w:abstractNumId w:val="1"/>
  </w:num>
  <w:num w:numId="12" w16cid:durableId="1612283175">
    <w:abstractNumId w:val="0"/>
  </w:num>
  <w:num w:numId="13" w16cid:durableId="1302615327">
    <w:abstractNumId w:val="13"/>
  </w:num>
  <w:num w:numId="14" w16cid:durableId="2064020781">
    <w:abstractNumId w:val="15"/>
  </w:num>
  <w:num w:numId="15" w16cid:durableId="454524817">
    <w:abstractNumId w:val="14"/>
  </w:num>
  <w:num w:numId="16" w16cid:durableId="1538657917">
    <w:abstractNumId w:val="12"/>
  </w:num>
  <w:num w:numId="17" w16cid:durableId="174282674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SWDocIDLayout" w:val="10004"/>
    <w:docVar w:name="SWDocIDLocation" w:val="1"/>
  </w:docVars>
  <w:rsids>
    <w:rsidRoot w:val="00C74FE3"/>
    <w:rsid w:val="00001D63"/>
    <w:rsid w:val="000241C3"/>
    <w:rsid w:val="000271CE"/>
    <w:rsid w:val="00066218"/>
    <w:rsid w:val="000C374D"/>
    <w:rsid w:val="000D7A1A"/>
    <w:rsid w:val="000E5895"/>
    <w:rsid w:val="00127E39"/>
    <w:rsid w:val="00150F2B"/>
    <w:rsid w:val="0016232B"/>
    <w:rsid w:val="001B1E19"/>
    <w:rsid w:val="001C3E62"/>
    <w:rsid w:val="001E7BDE"/>
    <w:rsid w:val="00227F4C"/>
    <w:rsid w:val="00282B6A"/>
    <w:rsid w:val="002B6CB9"/>
    <w:rsid w:val="002B795A"/>
    <w:rsid w:val="002D765E"/>
    <w:rsid w:val="00305981"/>
    <w:rsid w:val="00313F16"/>
    <w:rsid w:val="00325A23"/>
    <w:rsid w:val="003362F9"/>
    <w:rsid w:val="0034095E"/>
    <w:rsid w:val="003571F3"/>
    <w:rsid w:val="003803E4"/>
    <w:rsid w:val="00395A47"/>
    <w:rsid w:val="003A7CA0"/>
    <w:rsid w:val="00423694"/>
    <w:rsid w:val="00454C03"/>
    <w:rsid w:val="00463CF7"/>
    <w:rsid w:val="00481563"/>
    <w:rsid w:val="004A7EE3"/>
    <w:rsid w:val="004B5C5F"/>
    <w:rsid w:val="004C0901"/>
    <w:rsid w:val="004C1EE0"/>
    <w:rsid w:val="004C3BDD"/>
    <w:rsid w:val="004E2DB8"/>
    <w:rsid w:val="004F04BD"/>
    <w:rsid w:val="00512B78"/>
    <w:rsid w:val="005226F1"/>
    <w:rsid w:val="00560C14"/>
    <w:rsid w:val="00615038"/>
    <w:rsid w:val="00626566"/>
    <w:rsid w:val="006442B0"/>
    <w:rsid w:val="006771D2"/>
    <w:rsid w:val="00697474"/>
    <w:rsid w:val="006A474D"/>
    <w:rsid w:val="006B48EE"/>
    <w:rsid w:val="006C6496"/>
    <w:rsid w:val="006D18D0"/>
    <w:rsid w:val="00725C59"/>
    <w:rsid w:val="00753D1A"/>
    <w:rsid w:val="00762407"/>
    <w:rsid w:val="00810AFE"/>
    <w:rsid w:val="00811712"/>
    <w:rsid w:val="00815883"/>
    <w:rsid w:val="00862D35"/>
    <w:rsid w:val="00875CEE"/>
    <w:rsid w:val="0088431C"/>
    <w:rsid w:val="008954C4"/>
    <w:rsid w:val="008D6209"/>
    <w:rsid w:val="008D70E7"/>
    <w:rsid w:val="009112D9"/>
    <w:rsid w:val="009817AE"/>
    <w:rsid w:val="009B78FB"/>
    <w:rsid w:val="009C6B5D"/>
    <w:rsid w:val="009E0664"/>
    <w:rsid w:val="00A66EB7"/>
    <w:rsid w:val="00A91C03"/>
    <w:rsid w:val="00AC37F2"/>
    <w:rsid w:val="00AD3B51"/>
    <w:rsid w:val="00B00670"/>
    <w:rsid w:val="00B126B2"/>
    <w:rsid w:val="00B25ACB"/>
    <w:rsid w:val="00B4386B"/>
    <w:rsid w:val="00B471FB"/>
    <w:rsid w:val="00B53E9B"/>
    <w:rsid w:val="00B942EA"/>
    <w:rsid w:val="00BA478E"/>
    <w:rsid w:val="00BD2505"/>
    <w:rsid w:val="00C002A7"/>
    <w:rsid w:val="00C10E4D"/>
    <w:rsid w:val="00C145B5"/>
    <w:rsid w:val="00C15C28"/>
    <w:rsid w:val="00C51AB4"/>
    <w:rsid w:val="00C66737"/>
    <w:rsid w:val="00C74FE3"/>
    <w:rsid w:val="00CA1A57"/>
    <w:rsid w:val="00CB7563"/>
    <w:rsid w:val="00CC7921"/>
    <w:rsid w:val="00CF419F"/>
    <w:rsid w:val="00CF5657"/>
    <w:rsid w:val="00D120F6"/>
    <w:rsid w:val="00D43412"/>
    <w:rsid w:val="00D60DFB"/>
    <w:rsid w:val="00D72DC6"/>
    <w:rsid w:val="00DA627C"/>
    <w:rsid w:val="00DC1E07"/>
    <w:rsid w:val="00DE0614"/>
    <w:rsid w:val="00E12430"/>
    <w:rsid w:val="00E3376F"/>
    <w:rsid w:val="00E51358"/>
    <w:rsid w:val="00E51ABF"/>
    <w:rsid w:val="00E54514"/>
    <w:rsid w:val="00E63949"/>
    <w:rsid w:val="00E6777F"/>
    <w:rsid w:val="00E75B98"/>
    <w:rsid w:val="00E767FC"/>
    <w:rsid w:val="00F0117F"/>
    <w:rsid w:val="00F64781"/>
    <w:rsid w:val="00F64809"/>
    <w:rsid w:val="00F82DB3"/>
    <w:rsid w:val="00F838EA"/>
    <w:rsid w:val="00F91A71"/>
    <w:rsid w:val="00FB5E38"/>
    <w:rsid w:val="00FC110B"/>
    <w:rsid w:val="00FC2510"/>
    <w:rsid w:val="00FC6221"/>
    <w:rsid w:val="00FE71C5"/>
    <w:rsid w:val="00FF4FA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2D74A"/>
  <w15:chartTrackingRefBased/>
  <w15:docId w15:val="{BFBBCCAA-3B61-4ABB-A722-24EC3932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9" w:qFormat="1"/>
    <w:lsdException w:name="heading 1" w:uiPriority="14"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iPriority="14"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9" w:unhideWhenUsed="1"/>
    <w:lsdException w:name="annotation reference" w:semiHidden="1" w:unhideWhenUsed="1"/>
    <w:lsdException w:name="line number" w:semiHidden="1" w:unhideWhenUsed="1"/>
    <w:lsdException w:name="page number" w:semiHidden="1" w:uiPriority="6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uiPriority="4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39"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qFormat="1"/>
    <w:lsdException w:name="Hyperlink" w:semiHidden="1" w:unhideWhenUsed="1"/>
    <w:lsdException w:name="FollowedHyperlink" w:semiHidden="1" w:unhideWhenUsed="1"/>
    <w:lsdException w:name="Strong" w:uiPriority="69" w:qFormat="1"/>
    <w:lsdException w:name="Emphasis"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9"/>
    <w:qFormat/>
    <w:rsid w:val="00811712"/>
  </w:style>
  <w:style w:type="paragraph" w:styleId="Heading1">
    <w:name w:val="heading 1"/>
    <w:basedOn w:val="Normal"/>
    <w:next w:val="Heading2"/>
    <w:uiPriority w:val="14"/>
    <w:qFormat/>
    <w:rsid w:val="00FC2510"/>
    <w:pPr>
      <w:keepNext/>
      <w:numPr>
        <w:numId w:val="1"/>
      </w:numPr>
      <w:spacing w:after="240"/>
      <w:outlineLvl w:val="0"/>
    </w:pPr>
    <w:rPr>
      <w:rFonts w:cs="Arial"/>
      <w:bCs/>
    </w:rPr>
  </w:style>
  <w:style w:type="paragraph" w:styleId="Heading2">
    <w:name w:val="heading 2"/>
    <w:basedOn w:val="Normal"/>
    <w:uiPriority w:val="14"/>
    <w:qFormat/>
    <w:rsid w:val="00A91C03"/>
    <w:pPr>
      <w:numPr>
        <w:ilvl w:val="1"/>
        <w:numId w:val="1"/>
      </w:numPr>
      <w:spacing w:after="240"/>
      <w:outlineLvl w:val="1"/>
    </w:pPr>
    <w:rPr>
      <w:rFonts w:cs="Arial"/>
      <w:bCs/>
      <w:iCs/>
    </w:rPr>
  </w:style>
  <w:style w:type="paragraph" w:styleId="Heading3">
    <w:name w:val="heading 3"/>
    <w:basedOn w:val="Normal"/>
    <w:uiPriority w:val="14"/>
    <w:qFormat/>
    <w:rsid w:val="00A91C03"/>
    <w:pPr>
      <w:numPr>
        <w:ilvl w:val="2"/>
        <w:numId w:val="1"/>
      </w:numPr>
      <w:spacing w:after="240"/>
      <w:outlineLvl w:val="2"/>
    </w:pPr>
    <w:rPr>
      <w:rFonts w:cs="Arial"/>
      <w:bCs/>
    </w:rPr>
  </w:style>
  <w:style w:type="paragraph" w:styleId="Heading4">
    <w:name w:val="heading 4"/>
    <w:basedOn w:val="Normal"/>
    <w:uiPriority w:val="14"/>
    <w:qFormat/>
    <w:rsid w:val="00FC2510"/>
    <w:pPr>
      <w:numPr>
        <w:ilvl w:val="3"/>
        <w:numId w:val="1"/>
      </w:numPr>
      <w:spacing w:after="240"/>
      <w:outlineLvl w:val="3"/>
    </w:pPr>
    <w:rPr>
      <w:bCs/>
    </w:rPr>
  </w:style>
  <w:style w:type="paragraph" w:styleId="Heading5">
    <w:name w:val="heading 5"/>
    <w:basedOn w:val="Normal"/>
    <w:uiPriority w:val="14"/>
    <w:qFormat/>
    <w:rsid w:val="00FC2510"/>
    <w:pPr>
      <w:numPr>
        <w:ilvl w:val="4"/>
        <w:numId w:val="1"/>
      </w:numPr>
      <w:spacing w:after="240"/>
      <w:outlineLvl w:val="4"/>
    </w:pPr>
    <w:rPr>
      <w:bCs/>
      <w:iCs/>
    </w:rPr>
  </w:style>
  <w:style w:type="paragraph" w:styleId="Heading6">
    <w:name w:val="heading 6"/>
    <w:basedOn w:val="Normal"/>
    <w:uiPriority w:val="14"/>
    <w:qFormat/>
    <w:rsid w:val="00FC2510"/>
    <w:pPr>
      <w:numPr>
        <w:ilvl w:val="5"/>
        <w:numId w:val="1"/>
      </w:numPr>
      <w:spacing w:after="240"/>
      <w:outlineLvl w:val="5"/>
    </w:pPr>
    <w:rPr>
      <w:bCs/>
      <w:szCs w:val="22"/>
    </w:rPr>
  </w:style>
  <w:style w:type="paragraph" w:styleId="Heading7">
    <w:name w:val="heading 7"/>
    <w:basedOn w:val="Normal"/>
    <w:uiPriority w:val="14"/>
    <w:qFormat/>
    <w:rsid w:val="00FC2510"/>
    <w:pPr>
      <w:numPr>
        <w:ilvl w:val="6"/>
        <w:numId w:val="1"/>
      </w:numPr>
      <w:tabs>
        <w:tab w:val="clear" w:pos="4896"/>
        <w:tab w:val="left" w:pos="4752"/>
      </w:tabs>
      <w:spacing w:after="240"/>
      <w:ind w:left="4752" w:hanging="1152"/>
      <w:outlineLvl w:val="6"/>
    </w:pPr>
  </w:style>
  <w:style w:type="paragraph" w:styleId="Heading8">
    <w:name w:val="heading 8"/>
    <w:basedOn w:val="Normal"/>
    <w:uiPriority w:val="14"/>
    <w:qFormat/>
    <w:rsid w:val="00FC2510"/>
    <w:pPr>
      <w:numPr>
        <w:ilvl w:val="7"/>
        <w:numId w:val="1"/>
      </w:numPr>
      <w:tabs>
        <w:tab w:val="clear" w:pos="5040"/>
        <w:tab w:val="left" w:pos="4752"/>
      </w:tabs>
      <w:spacing w:after="240"/>
      <w:ind w:left="4752" w:hanging="1152"/>
      <w:outlineLvl w:val="7"/>
    </w:pPr>
    <w:rPr>
      <w:iCs/>
    </w:rPr>
  </w:style>
  <w:style w:type="paragraph" w:styleId="Heading9">
    <w:name w:val="heading 9"/>
    <w:basedOn w:val="Normal"/>
    <w:uiPriority w:val="14"/>
    <w:qFormat/>
    <w:rsid w:val="00FC2510"/>
    <w:pPr>
      <w:numPr>
        <w:ilvl w:val="8"/>
        <w:numId w:val="1"/>
      </w:numPr>
      <w:tabs>
        <w:tab w:val="clear" w:pos="5184"/>
        <w:tab w:val="num" w:pos="4752"/>
      </w:tabs>
      <w:spacing w:after="240"/>
      <w:ind w:left="4752" w:hanging="1152"/>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4"/>
    <w:qFormat/>
    <w:rsid w:val="00A91C03"/>
    <w:pPr>
      <w:spacing w:after="240"/>
      <w:ind w:left="1440" w:right="1440"/>
    </w:pPr>
  </w:style>
  <w:style w:type="paragraph" w:styleId="BodyText">
    <w:name w:val="Body Text"/>
    <w:basedOn w:val="Normal"/>
    <w:qFormat/>
    <w:rsid w:val="00A91C03"/>
    <w:pPr>
      <w:spacing w:after="240"/>
    </w:pPr>
  </w:style>
  <w:style w:type="paragraph" w:styleId="BodyText2">
    <w:name w:val="Body Text 2"/>
    <w:basedOn w:val="Normal"/>
    <w:semiHidden/>
    <w:rsid w:val="00A91C03"/>
    <w:pPr>
      <w:spacing w:after="120" w:line="480" w:lineRule="auto"/>
    </w:pPr>
  </w:style>
  <w:style w:type="paragraph" w:styleId="BodyText3">
    <w:name w:val="Body Text 3"/>
    <w:basedOn w:val="Normal"/>
    <w:semiHidden/>
    <w:rsid w:val="00A91C03"/>
    <w:pPr>
      <w:spacing w:after="120"/>
    </w:pPr>
    <w:rPr>
      <w:sz w:val="16"/>
      <w:szCs w:val="16"/>
    </w:rPr>
  </w:style>
  <w:style w:type="paragraph" w:customStyle="1" w:styleId="BodyTextDblSpc">
    <w:name w:val="Body Text Dbl Spc"/>
    <w:basedOn w:val="Normal"/>
    <w:qFormat/>
    <w:rsid w:val="00A91C03"/>
    <w:pPr>
      <w:spacing w:line="480" w:lineRule="auto"/>
    </w:pPr>
  </w:style>
  <w:style w:type="paragraph" w:styleId="BodyTextFirstIndent">
    <w:name w:val="Body Text First Indent"/>
    <w:basedOn w:val="Normal"/>
    <w:qFormat/>
    <w:rsid w:val="00FC2510"/>
    <w:pPr>
      <w:spacing w:after="240"/>
      <w:ind w:firstLine="720"/>
    </w:pPr>
  </w:style>
  <w:style w:type="paragraph" w:styleId="BodyTextIndent">
    <w:name w:val="Body Text Indent"/>
    <w:basedOn w:val="Normal"/>
    <w:qFormat/>
    <w:rsid w:val="00FC2510"/>
    <w:pPr>
      <w:spacing w:after="240"/>
      <w:ind w:left="720"/>
    </w:pPr>
  </w:style>
  <w:style w:type="paragraph" w:styleId="BodyTextFirstIndent2">
    <w:name w:val="Body Text First Indent 2"/>
    <w:basedOn w:val="BodyTextIndent"/>
    <w:semiHidden/>
    <w:rsid w:val="00A91C03"/>
    <w:pPr>
      <w:spacing w:after="120"/>
      <w:ind w:left="360" w:firstLine="210"/>
    </w:pPr>
  </w:style>
  <w:style w:type="paragraph" w:customStyle="1" w:styleId="BodyTextFirstIndentDblSpc">
    <w:name w:val="Body Text First Indent Dbl Spc"/>
    <w:basedOn w:val="Normal"/>
    <w:qFormat/>
    <w:rsid w:val="00A91C03"/>
    <w:pPr>
      <w:spacing w:line="480" w:lineRule="auto"/>
      <w:ind w:firstLine="720"/>
    </w:pPr>
  </w:style>
  <w:style w:type="paragraph" w:styleId="BodyTextIndent2">
    <w:name w:val="Body Text Indent 2"/>
    <w:basedOn w:val="Normal"/>
    <w:semiHidden/>
    <w:rsid w:val="00A91C03"/>
    <w:pPr>
      <w:spacing w:after="240" w:line="480" w:lineRule="auto"/>
      <w:ind w:left="720"/>
    </w:pPr>
  </w:style>
  <w:style w:type="paragraph" w:styleId="BodyTextIndent3">
    <w:name w:val="Body Text Indent 3"/>
    <w:basedOn w:val="Normal"/>
    <w:semiHidden/>
    <w:rsid w:val="00A91C03"/>
    <w:pPr>
      <w:spacing w:after="120"/>
      <w:ind w:left="360"/>
    </w:pPr>
    <w:rPr>
      <w:sz w:val="16"/>
      <w:szCs w:val="16"/>
    </w:rPr>
  </w:style>
  <w:style w:type="paragraph" w:customStyle="1" w:styleId="BodyTextIndentDblSpc">
    <w:name w:val="Body Text Indent Dbl Spc"/>
    <w:basedOn w:val="Normal"/>
    <w:qFormat/>
    <w:rsid w:val="00A91C03"/>
    <w:pPr>
      <w:spacing w:line="480" w:lineRule="auto"/>
      <w:ind w:left="720"/>
    </w:pPr>
  </w:style>
  <w:style w:type="paragraph" w:styleId="Closing">
    <w:name w:val="Closing"/>
    <w:basedOn w:val="Normal"/>
    <w:semiHidden/>
    <w:rsid w:val="00A91C03"/>
    <w:pPr>
      <w:ind w:left="4320"/>
    </w:pPr>
  </w:style>
  <w:style w:type="paragraph" w:styleId="Date">
    <w:name w:val="Date"/>
    <w:basedOn w:val="Normal"/>
    <w:next w:val="Normal"/>
    <w:semiHidden/>
    <w:rsid w:val="00A91C03"/>
  </w:style>
  <w:style w:type="paragraph" w:styleId="E-mailSignature">
    <w:name w:val="E-mail Signature"/>
    <w:basedOn w:val="Normal"/>
    <w:semiHidden/>
    <w:rsid w:val="00A91C03"/>
  </w:style>
  <w:style w:type="character" w:styleId="Emphasis">
    <w:name w:val="Emphasis"/>
    <w:uiPriority w:val="34"/>
    <w:qFormat/>
    <w:rsid w:val="00A91C03"/>
    <w:rPr>
      <w:i/>
      <w:iCs/>
    </w:rPr>
  </w:style>
  <w:style w:type="paragraph" w:styleId="EnvelopeAddress">
    <w:name w:val="envelope address"/>
    <w:basedOn w:val="Normal"/>
    <w:semiHidden/>
    <w:rsid w:val="00A91C0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91C03"/>
    <w:rPr>
      <w:rFonts w:ascii="Arial" w:hAnsi="Arial" w:cs="Arial"/>
      <w:sz w:val="20"/>
      <w:szCs w:val="20"/>
    </w:rPr>
  </w:style>
  <w:style w:type="character" w:styleId="FollowedHyperlink">
    <w:name w:val="FollowedHyperlink"/>
    <w:semiHidden/>
    <w:rsid w:val="00A91C03"/>
    <w:rPr>
      <w:color w:val="800080"/>
      <w:u w:val="single"/>
    </w:rPr>
  </w:style>
  <w:style w:type="paragraph" w:styleId="Footer">
    <w:name w:val="footer"/>
    <w:basedOn w:val="Normal"/>
    <w:link w:val="FooterChar"/>
    <w:uiPriority w:val="99"/>
    <w:rsid w:val="00A91C03"/>
    <w:pPr>
      <w:tabs>
        <w:tab w:val="center" w:pos="4680"/>
        <w:tab w:val="right" w:pos="9360"/>
      </w:tabs>
    </w:pPr>
    <w:rPr>
      <w:rFonts w:ascii="Arial" w:hAnsi="Arial"/>
      <w:sz w:val="17"/>
    </w:rPr>
  </w:style>
  <w:style w:type="character" w:styleId="FootnoteReference">
    <w:name w:val="footnote reference"/>
    <w:uiPriority w:val="69"/>
    <w:rsid w:val="00A91C03"/>
    <w:rPr>
      <w:vertAlign w:val="superscript"/>
    </w:rPr>
  </w:style>
  <w:style w:type="paragraph" w:styleId="FootnoteText">
    <w:name w:val="footnote text"/>
    <w:basedOn w:val="Normal"/>
    <w:uiPriority w:val="69"/>
    <w:rsid w:val="00A91C03"/>
    <w:pPr>
      <w:spacing w:after="200"/>
      <w:ind w:left="720" w:hanging="720"/>
    </w:pPr>
    <w:rPr>
      <w:sz w:val="20"/>
      <w:szCs w:val="20"/>
    </w:rPr>
  </w:style>
  <w:style w:type="paragraph" w:styleId="Header">
    <w:name w:val="header"/>
    <w:basedOn w:val="Normal"/>
    <w:uiPriority w:val="14"/>
    <w:rsid w:val="00A91C03"/>
  </w:style>
  <w:style w:type="character" w:styleId="HTMLAcronym">
    <w:name w:val="HTML Acronym"/>
    <w:semiHidden/>
    <w:rsid w:val="00A91C03"/>
  </w:style>
  <w:style w:type="paragraph" w:styleId="HTMLAddress">
    <w:name w:val="HTML Address"/>
    <w:basedOn w:val="Normal"/>
    <w:semiHidden/>
    <w:rsid w:val="00A91C03"/>
    <w:rPr>
      <w:i/>
      <w:iCs/>
    </w:rPr>
  </w:style>
  <w:style w:type="character" w:styleId="HTMLCite">
    <w:name w:val="HTML Cite"/>
    <w:semiHidden/>
    <w:rsid w:val="00A91C03"/>
    <w:rPr>
      <w:i/>
      <w:iCs/>
    </w:rPr>
  </w:style>
  <w:style w:type="character" w:styleId="HTMLCode">
    <w:name w:val="HTML Code"/>
    <w:semiHidden/>
    <w:rsid w:val="00A91C03"/>
    <w:rPr>
      <w:rFonts w:ascii="Courier New" w:hAnsi="Courier New" w:cs="Courier New"/>
      <w:sz w:val="20"/>
      <w:szCs w:val="20"/>
    </w:rPr>
  </w:style>
  <w:style w:type="character" w:styleId="HTMLDefinition">
    <w:name w:val="HTML Definition"/>
    <w:semiHidden/>
    <w:rsid w:val="00A91C03"/>
    <w:rPr>
      <w:i/>
      <w:iCs/>
    </w:rPr>
  </w:style>
  <w:style w:type="character" w:styleId="HTMLKeyboard">
    <w:name w:val="HTML Keyboard"/>
    <w:semiHidden/>
    <w:rsid w:val="00A91C03"/>
    <w:rPr>
      <w:rFonts w:ascii="Courier New" w:hAnsi="Courier New" w:cs="Courier New"/>
      <w:sz w:val="20"/>
      <w:szCs w:val="20"/>
    </w:rPr>
  </w:style>
  <w:style w:type="paragraph" w:styleId="HTMLPreformatted">
    <w:name w:val="HTML Preformatted"/>
    <w:basedOn w:val="Normal"/>
    <w:semiHidden/>
    <w:rsid w:val="00A91C03"/>
    <w:rPr>
      <w:rFonts w:ascii="Courier New" w:hAnsi="Courier New" w:cs="Courier New"/>
      <w:sz w:val="20"/>
      <w:szCs w:val="20"/>
    </w:rPr>
  </w:style>
  <w:style w:type="character" w:styleId="HTMLSample">
    <w:name w:val="HTML Sample"/>
    <w:semiHidden/>
    <w:rsid w:val="00A91C03"/>
    <w:rPr>
      <w:rFonts w:ascii="Courier New" w:hAnsi="Courier New" w:cs="Courier New"/>
    </w:rPr>
  </w:style>
  <w:style w:type="character" w:styleId="HTMLTypewriter">
    <w:name w:val="HTML Typewriter"/>
    <w:semiHidden/>
    <w:rsid w:val="00A91C03"/>
    <w:rPr>
      <w:rFonts w:ascii="Courier New" w:hAnsi="Courier New" w:cs="Courier New"/>
      <w:sz w:val="20"/>
      <w:szCs w:val="20"/>
    </w:rPr>
  </w:style>
  <w:style w:type="character" w:styleId="HTMLVariable">
    <w:name w:val="HTML Variable"/>
    <w:semiHidden/>
    <w:rsid w:val="00A91C03"/>
    <w:rPr>
      <w:i/>
      <w:iCs/>
    </w:rPr>
  </w:style>
  <w:style w:type="character" w:styleId="Hyperlink">
    <w:name w:val="Hyperlink"/>
    <w:semiHidden/>
    <w:rsid w:val="00A91C03"/>
    <w:rPr>
      <w:color w:val="0000FF"/>
      <w:u w:val="single"/>
    </w:rPr>
  </w:style>
  <w:style w:type="character" w:styleId="LineNumber">
    <w:name w:val="line number"/>
    <w:semiHidden/>
    <w:rsid w:val="00A91C03"/>
  </w:style>
  <w:style w:type="paragraph" w:styleId="List">
    <w:name w:val="List"/>
    <w:basedOn w:val="Normal"/>
    <w:semiHidden/>
    <w:rsid w:val="00A91C03"/>
    <w:pPr>
      <w:ind w:left="720" w:hanging="720"/>
    </w:pPr>
  </w:style>
  <w:style w:type="paragraph" w:styleId="List2">
    <w:name w:val="List 2"/>
    <w:basedOn w:val="Normal"/>
    <w:semiHidden/>
    <w:rsid w:val="00A91C03"/>
    <w:pPr>
      <w:ind w:left="720" w:hanging="360"/>
    </w:pPr>
  </w:style>
  <w:style w:type="paragraph" w:styleId="List3">
    <w:name w:val="List 3"/>
    <w:basedOn w:val="Normal"/>
    <w:semiHidden/>
    <w:rsid w:val="00A91C03"/>
    <w:pPr>
      <w:ind w:left="1080" w:hanging="360"/>
    </w:pPr>
  </w:style>
  <w:style w:type="paragraph" w:styleId="List4">
    <w:name w:val="List 4"/>
    <w:basedOn w:val="Normal"/>
    <w:semiHidden/>
    <w:rsid w:val="00A91C03"/>
    <w:pPr>
      <w:ind w:left="1440" w:hanging="360"/>
    </w:pPr>
  </w:style>
  <w:style w:type="paragraph" w:styleId="List5">
    <w:name w:val="List 5"/>
    <w:basedOn w:val="Normal"/>
    <w:semiHidden/>
    <w:rsid w:val="00A91C03"/>
    <w:pPr>
      <w:ind w:left="1800" w:hanging="360"/>
    </w:pPr>
  </w:style>
  <w:style w:type="paragraph" w:styleId="ListBullet">
    <w:name w:val="List Bullet"/>
    <w:basedOn w:val="Normal"/>
    <w:uiPriority w:val="49"/>
    <w:qFormat/>
    <w:rsid w:val="00A91C03"/>
    <w:pPr>
      <w:numPr>
        <w:numId w:val="2"/>
      </w:numPr>
      <w:spacing w:after="240"/>
    </w:pPr>
  </w:style>
  <w:style w:type="paragraph" w:styleId="ListBullet2">
    <w:name w:val="List Bullet 2"/>
    <w:basedOn w:val="Normal"/>
    <w:autoRedefine/>
    <w:semiHidden/>
    <w:rsid w:val="00A91C03"/>
    <w:pPr>
      <w:numPr>
        <w:numId w:val="3"/>
      </w:numPr>
    </w:pPr>
  </w:style>
  <w:style w:type="paragraph" w:styleId="ListBullet3">
    <w:name w:val="List Bullet 3"/>
    <w:basedOn w:val="Normal"/>
    <w:autoRedefine/>
    <w:semiHidden/>
    <w:rsid w:val="00A91C03"/>
    <w:pPr>
      <w:numPr>
        <w:numId w:val="4"/>
      </w:numPr>
    </w:pPr>
  </w:style>
  <w:style w:type="paragraph" w:styleId="ListBullet4">
    <w:name w:val="List Bullet 4"/>
    <w:basedOn w:val="Normal"/>
    <w:autoRedefine/>
    <w:semiHidden/>
    <w:rsid w:val="00A91C03"/>
    <w:pPr>
      <w:numPr>
        <w:numId w:val="5"/>
      </w:numPr>
    </w:pPr>
  </w:style>
  <w:style w:type="paragraph" w:styleId="ListBullet5">
    <w:name w:val="List Bullet 5"/>
    <w:basedOn w:val="Normal"/>
    <w:autoRedefine/>
    <w:semiHidden/>
    <w:rsid w:val="00A91C03"/>
    <w:pPr>
      <w:numPr>
        <w:numId w:val="6"/>
      </w:numPr>
    </w:pPr>
  </w:style>
  <w:style w:type="paragraph" w:customStyle="1" w:styleId="ListBulletNoSpcAft">
    <w:name w:val="List Bullet No Spc Aft"/>
    <w:basedOn w:val="Normal"/>
    <w:uiPriority w:val="49"/>
    <w:qFormat/>
    <w:rsid w:val="00A91C03"/>
    <w:pPr>
      <w:numPr>
        <w:numId w:val="7"/>
      </w:numPr>
    </w:pPr>
  </w:style>
  <w:style w:type="paragraph" w:styleId="ListContinue">
    <w:name w:val="List Continue"/>
    <w:basedOn w:val="Normal"/>
    <w:semiHidden/>
    <w:rsid w:val="00A91C03"/>
    <w:pPr>
      <w:spacing w:after="120"/>
      <w:ind w:left="360"/>
    </w:pPr>
  </w:style>
  <w:style w:type="paragraph" w:styleId="ListContinue2">
    <w:name w:val="List Continue 2"/>
    <w:basedOn w:val="Normal"/>
    <w:semiHidden/>
    <w:rsid w:val="00A91C03"/>
    <w:pPr>
      <w:spacing w:after="120"/>
      <w:ind w:left="720"/>
    </w:pPr>
  </w:style>
  <w:style w:type="paragraph" w:styleId="ListContinue3">
    <w:name w:val="List Continue 3"/>
    <w:basedOn w:val="Normal"/>
    <w:semiHidden/>
    <w:rsid w:val="00A91C03"/>
    <w:pPr>
      <w:spacing w:after="120"/>
      <w:ind w:left="1080"/>
    </w:pPr>
  </w:style>
  <w:style w:type="paragraph" w:styleId="ListContinue4">
    <w:name w:val="List Continue 4"/>
    <w:basedOn w:val="Normal"/>
    <w:semiHidden/>
    <w:rsid w:val="00A91C03"/>
    <w:pPr>
      <w:spacing w:after="120"/>
      <w:ind w:left="1440"/>
    </w:pPr>
  </w:style>
  <w:style w:type="paragraph" w:styleId="ListContinue5">
    <w:name w:val="List Continue 5"/>
    <w:basedOn w:val="Normal"/>
    <w:semiHidden/>
    <w:rsid w:val="00A91C03"/>
    <w:pPr>
      <w:spacing w:after="120"/>
      <w:ind w:left="1800"/>
    </w:pPr>
  </w:style>
  <w:style w:type="paragraph" w:styleId="ListNumber">
    <w:name w:val="List Number"/>
    <w:basedOn w:val="Normal"/>
    <w:uiPriority w:val="49"/>
    <w:qFormat/>
    <w:rsid w:val="00A91C03"/>
    <w:pPr>
      <w:numPr>
        <w:numId w:val="8"/>
      </w:numPr>
      <w:spacing w:after="240"/>
    </w:pPr>
  </w:style>
  <w:style w:type="paragraph" w:styleId="ListNumber2">
    <w:name w:val="List Number 2"/>
    <w:basedOn w:val="Normal"/>
    <w:semiHidden/>
    <w:rsid w:val="00A91C03"/>
    <w:pPr>
      <w:numPr>
        <w:numId w:val="9"/>
      </w:numPr>
    </w:pPr>
  </w:style>
  <w:style w:type="paragraph" w:styleId="ListNumber3">
    <w:name w:val="List Number 3"/>
    <w:basedOn w:val="Normal"/>
    <w:semiHidden/>
    <w:rsid w:val="00A91C03"/>
    <w:pPr>
      <w:numPr>
        <w:numId w:val="10"/>
      </w:numPr>
    </w:pPr>
  </w:style>
  <w:style w:type="paragraph" w:styleId="ListNumber4">
    <w:name w:val="List Number 4"/>
    <w:basedOn w:val="Normal"/>
    <w:semiHidden/>
    <w:rsid w:val="00A91C03"/>
    <w:pPr>
      <w:numPr>
        <w:numId w:val="11"/>
      </w:numPr>
    </w:pPr>
  </w:style>
  <w:style w:type="paragraph" w:styleId="ListNumber5">
    <w:name w:val="List Number 5"/>
    <w:basedOn w:val="Normal"/>
    <w:semiHidden/>
    <w:rsid w:val="00A91C03"/>
    <w:pPr>
      <w:numPr>
        <w:numId w:val="12"/>
      </w:numPr>
    </w:pPr>
  </w:style>
  <w:style w:type="paragraph" w:customStyle="1" w:styleId="ListNumberNoSpcAft">
    <w:name w:val="List Number No Spc Aft"/>
    <w:basedOn w:val="Normal"/>
    <w:uiPriority w:val="49"/>
    <w:qFormat/>
    <w:rsid w:val="00A91C03"/>
    <w:pPr>
      <w:numPr>
        <w:numId w:val="13"/>
      </w:numPr>
    </w:pPr>
  </w:style>
  <w:style w:type="paragraph" w:styleId="MessageHeader">
    <w:name w:val="Message Header"/>
    <w:basedOn w:val="Normal"/>
    <w:semiHidden/>
    <w:rsid w:val="00A91C0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91C03"/>
  </w:style>
  <w:style w:type="paragraph" w:styleId="NormalIndent">
    <w:name w:val="Normal Indent"/>
    <w:basedOn w:val="Normal"/>
    <w:semiHidden/>
    <w:rsid w:val="00A91C03"/>
    <w:pPr>
      <w:ind w:left="720"/>
    </w:pPr>
  </w:style>
  <w:style w:type="paragraph" w:styleId="NoteHeading">
    <w:name w:val="Note Heading"/>
    <w:basedOn w:val="Normal"/>
    <w:next w:val="Normal"/>
    <w:semiHidden/>
    <w:rsid w:val="00A91C03"/>
  </w:style>
  <w:style w:type="character" w:styleId="PageNumber">
    <w:name w:val="page number"/>
    <w:uiPriority w:val="69"/>
    <w:rsid w:val="00A91C03"/>
    <w:rPr>
      <w:rFonts w:ascii="Times New Roman" w:hAnsi="Times New Roman"/>
      <w:sz w:val="24"/>
    </w:rPr>
  </w:style>
  <w:style w:type="paragraph" w:styleId="PlainText">
    <w:name w:val="Plain Text"/>
    <w:basedOn w:val="Normal"/>
    <w:semiHidden/>
    <w:rsid w:val="00A91C03"/>
    <w:rPr>
      <w:rFonts w:ascii="Courier New" w:hAnsi="Courier New" w:cs="Courier New"/>
      <w:sz w:val="20"/>
      <w:szCs w:val="20"/>
    </w:rPr>
  </w:style>
  <w:style w:type="paragraph" w:styleId="Salutation">
    <w:name w:val="Salutation"/>
    <w:basedOn w:val="Normal"/>
    <w:next w:val="Normal"/>
    <w:semiHidden/>
    <w:rsid w:val="00A91C03"/>
  </w:style>
  <w:style w:type="paragraph" w:styleId="Signature">
    <w:name w:val="Signature"/>
    <w:basedOn w:val="Normal"/>
    <w:uiPriority w:val="39"/>
    <w:qFormat/>
    <w:rsid w:val="00A91C03"/>
    <w:pPr>
      <w:tabs>
        <w:tab w:val="right" w:leader="underscore" w:pos="8640"/>
      </w:tabs>
      <w:spacing w:after="240"/>
      <w:ind w:left="4320"/>
    </w:pPr>
  </w:style>
  <w:style w:type="character" w:styleId="Strong">
    <w:name w:val="Strong"/>
    <w:uiPriority w:val="69"/>
    <w:qFormat/>
    <w:rsid w:val="00A91C03"/>
    <w:rPr>
      <w:b/>
      <w:bCs/>
    </w:rPr>
  </w:style>
  <w:style w:type="paragraph" w:styleId="Subtitle">
    <w:name w:val="Subtitle"/>
    <w:basedOn w:val="Normal"/>
    <w:uiPriority w:val="29"/>
    <w:qFormat/>
    <w:rsid w:val="00FC2510"/>
    <w:pPr>
      <w:keepNext/>
      <w:spacing w:after="240"/>
      <w:jc w:val="center"/>
      <w:outlineLvl w:val="1"/>
    </w:pPr>
    <w:rPr>
      <w:rFonts w:cs="Arial"/>
    </w:rPr>
  </w:style>
  <w:style w:type="table" w:styleId="Table3Deffects1">
    <w:name w:val="Table 3D effects 1"/>
    <w:basedOn w:val="TableNormal"/>
    <w:semiHidden/>
    <w:rsid w:val="00A91C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91C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91C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91C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91C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91C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91C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91C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91C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91C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91C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91C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91C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91C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91C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91C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91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91C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91C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91C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91C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91C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91C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91C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91C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91C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91C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91C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91C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91C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91C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91C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91C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91C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91C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91C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91C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91C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91C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91C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uiPriority w:val="24"/>
    <w:qFormat/>
    <w:rsid w:val="004E2DB8"/>
    <w:pPr>
      <w:keepNext/>
      <w:spacing w:after="240"/>
      <w:jc w:val="center"/>
      <w:outlineLvl w:val="0"/>
    </w:pPr>
    <w:rPr>
      <w:rFonts w:cs="Arial"/>
      <w:b/>
      <w:bCs/>
      <w:caps/>
      <w:szCs w:val="32"/>
    </w:rPr>
  </w:style>
  <w:style w:type="paragraph" w:styleId="NoSpacing">
    <w:name w:val="No Spacing"/>
    <w:uiPriority w:val="1"/>
    <w:qFormat/>
    <w:rsid w:val="00282B6A"/>
  </w:style>
  <w:style w:type="paragraph" w:styleId="ListParagraph">
    <w:name w:val="List Paragraph"/>
    <w:basedOn w:val="Normal"/>
    <w:uiPriority w:val="34"/>
    <w:qFormat/>
    <w:rsid w:val="00C74FE3"/>
    <w:pPr>
      <w:ind w:left="720"/>
      <w:contextualSpacing/>
    </w:pPr>
  </w:style>
  <w:style w:type="character" w:customStyle="1" w:styleId="FooterChar">
    <w:name w:val="Footer Char"/>
    <w:basedOn w:val="DefaultParagraphFont"/>
    <w:link w:val="Footer"/>
    <w:uiPriority w:val="99"/>
    <w:rsid w:val="002B795A"/>
    <w:rPr>
      <w:rFonts w:ascii="Arial" w:hAnsi="Arial"/>
      <w:sz w:val="17"/>
    </w:rPr>
  </w:style>
  <w:style w:type="paragraph" w:styleId="Revision">
    <w:name w:val="Revision"/>
    <w:hidden/>
    <w:uiPriority w:val="99"/>
    <w:semiHidden/>
    <w:rsid w:val="00F9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8a348a9-4d1f-428f-ad90-110b00ccde8c}" enabled="1" method="Standard" siteId="{e0ba10c6-0511-4b52-82db-1c4d73100e59}"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Forni, Tyler C.</dc:creator>
  <cp:keywords/>
  <dc:description/>
  <cp:lastModifiedBy>Browne, La Fleur</cp:lastModifiedBy>
  <cp:revision>2</cp:revision>
  <dcterms:created xsi:type="dcterms:W3CDTF">2025-03-17T14:58:00Z</dcterms:created>
  <dcterms:modified xsi:type="dcterms:W3CDTF">2025-03-17T14:58:00Z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147670833v3</vt:lpwstr>
  </property>
  <property fmtid="{D5CDD505-2E9C-101B-9397-08002B2CF9AE}" pid="3" name="GrammarlyDocumentId">
    <vt:lpwstr>b5928b9c012f4aac491b1fe0d431974f1ef3099734d13cec0c91a1a1bddb2a52</vt:lpwstr>
  </property>
</Properties>
</file>